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版本号：DFA-GSYY-GP-20250913.1B120250630001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自动驾驶汽车平台(二次)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DFA-GSYY-GP-20250913.1B1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北京典方建设工程咨询有限公司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自动驾驶汽车平台(二次)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DFA-GSYY-GP-20250913.1B1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自动驾驶汽车平台(二次)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本项目为自动驾驶汽车平台采购项目。共分为1个包。具体内容详见谈判文件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采购包1（自动驾驶汽车平台）：属于专门面向中小企业采购。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1、法定代表人授权委托书：法定代表人参加谈判的，须提供身份证复印件；法定代表人授权本单位他人参加谈判的，须提供法定代表人授权委托书。</w:t>
      </w:r>
    </w:p>
    <w:p>
      <w:pPr>
        <w:pStyle w:val="null3"/>
      </w:pPr>
      <w:r>
        <w:rPr>
          <w:rFonts w:ascii="仿宋_GB2312" w:hAnsi="仿宋_GB2312" w:cs="仿宋_GB2312" w:eastAsia="仿宋_GB2312"/>
        </w:rPr>
        <w:t>2、是否接受联合体谈判：本项目不接受联合体谈判。</w:t>
      </w:r>
    </w:p>
    <w:p>
      <w:pPr>
        <w:pStyle w:val="null3"/>
      </w:pPr>
      <w:r>
        <w:rPr>
          <w:rFonts w:ascii="仿宋_GB2312" w:hAnsi="仿宋_GB2312" w:cs="仿宋_GB2312" w:eastAsia="仿宋_GB2312"/>
        </w:rPr>
        <w:t>3、是否面向中小企业采购：本项目专门面向中小企业采购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采购包1保证金金额：5,020.02元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说明：供应商成交后凭成交通知书向采购人缴纳成交金额的5%作为履约保证金，待合同履约完毕后采购人向成交供应商无息退还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北京典方建设工程咨询有限公司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联系电话：13279453712</w:t>
      </w:r>
    </w:p>
    <w:p>
      <w:pPr>
        <w:pStyle w:val="null3"/>
      </w:pPr>
      <w:r>
        <w:rPr>
          <w:rFonts w:ascii="仿宋_GB2312" w:hAnsi="仿宋_GB2312" w:cs="仿宋_GB2312" w:eastAsia="仿宋_GB2312"/>
        </w:rPr>
        <w:t>地址：西安市曲江新区南三环辅路以南曲江文创中心7幢1单元1701号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自动驾驶汽车平台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自动驾驶汽车平台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标的名称：自动驾驶汽车平台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1.自动驾驶汽车平台（1套）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1）需要将电动乘用车改造成支持线控的线控底盘汽车</w:t>
            </w:r>
          </w:p>
          <w:p>
            <w:pPr>
              <w:pStyle w:val="null3"/>
              <w:jc w:val="left"/>
            </w:pPr>
            <w:r>
              <w:rPr>
                <w:rFonts w:ascii="仿宋_GB2312" w:hAnsi="仿宋_GB2312" w:cs="仿宋_GB2312" w:eastAsia="仿宋_GB2312"/>
                <w:sz w:val="21"/>
              </w:rPr>
              <w:t>需要实现前轮阿克曼线控转向、后轮线控电驱动、线控电子液压行车制动和电磁抱闸驻车制动等功能。</w:t>
            </w:r>
          </w:p>
          <w:p>
            <w:pPr>
              <w:pStyle w:val="null3"/>
              <w:jc w:val="left"/>
            </w:pPr>
            <w:r>
              <w:rPr>
                <w:rFonts w:ascii="仿宋_GB2312" w:hAnsi="仿宋_GB2312" w:cs="仿宋_GB2312" w:eastAsia="仿宋_GB2312"/>
                <w:sz w:val="21"/>
              </w:rPr>
              <w:t>电动乘用车机械参数要求</w:t>
            </w:r>
          </w:p>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*宽*高（含覆盖件）≥3000</w:t>
            </w:r>
            <w:r>
              <w:rPr>
                <w:rFonts w:ascii="仿宋_GB2312" w:hAnsi="仿宋_GB2312" w:cs="仿宋_GB2312" w:eastAsia="仿宋_GB2312"/>
                <w:sz w:val="21"/>
              </w:rPr>
              <w:t>mm</w:t>
            </w:r>
            <w:r>
              <w:rPr>
                <w:rFonts w:ascii="仿宋_GB2312" w:hAnsi="仿宋_GB2312" w:cs="仿宋_GB2312" w:eastAsia="仿宋_GB2312"/>
                <w:sz w:val="21"/>
              </w:rPr>
              <w:t>*1800</w:t>
            </w:r>
            <w:r>
              <w:rPr>
                <w:rFonts w:ascii="仿宋_GB2312" w:hAnsi="仿宋_GB2312" w:cs="仿宋_GB2312" w:eastAsia="仿宋_GB2312"/>
                <w:sz w:val="21"/>
              </w:rPr>
              <w:t>mm</w:t>
            </w:r>
            <w:r>
              <w:rPr>
                <w:rFonts w:ascii="仿宋_GB2312" w:hAnsi="仿宋_GB2312" w:cs="仿宋_GB2312" w:eastAsia="仿宋_GB2312"/>
                <w:sz w:val="21"/>
              </w:rPr>
              <w:t>*2300mm</w:t>
            </w:r>
          </w:p>
          <w:p>
            <w:pPr>
              <w:pStyle w:val="null3"/>
              <w:jc w:val="left"/>
            </w:pPr>
            <w:r>
              <w:rPr>
                <w:rFonts w:ascii="仿宋_GB2312" w:hAnsi="仿宋_GB2312" w:cs="仿宋_GB2312" w:eastAsia="仿宋_GB2312"/>
                <w:sz w:val="21"/>
              </w:rPr>
              <w:t>轴距</w:t>
            </w:r>
            <w:r>
              <w:rPr>
                <w:rFonts w:ascii="仿宋_GB2312" w:hAnsi="仿宋_GB2312" w:cs="仿宋_GB2312" w:eastAsia="仿宋_GB2312"/>
                <w:sz w:val="21"/>
              </w:rPr>
              <w:t>≥2000mm</w:t>
            </w:r>
          </w:p>
          <w:p>
            <w:pPr>
              <w:pStyle w:val="null3"/>
              <w:jc w:val="left"/>
            </w:pPr>
            <w:r>
              <w:rPr>
                <w:rFonts w:ascii="仿宋_GB2312" w:hAnsi="仿宋_GB2312" w:cs="仿宋_GB2312" w:eastAsia="仿宋_GB2312"/>
                <w:sz w:val="21"/>
              </w:rPr>
              <w:t>轮距（前</w:t>
            </w:r>
            <w:r>
              <w:rPr>
                <w:rFonts w:ascii="仿宋_GB2312" w:hAnsi="仿宋_GB2312" w:cs="仿宋_GB2312" w:eastAsia="仿宋_GB2312"/>
                <w:sz w:val="21"/>
              </w:rPr>
              <w:t>/后）≥1500mm</w:t>
            </w:r>
          </w:p>
          <w:p>
            <w:pPr>
              <w:pStyle w:val="null3"/>
              <w:jc w:val="left"/>
            </w:pPr>
            <w:r>
              <w:rPr>
                <w:rFonts w:ascii="仿宋_GB2312" w:hAnsi="仿宋_GB2312" w:cs="仿宋_GB2312" w:eastAsia="仿宋_GB2312"/>
                <w:sz w:val="21"/>
              </w:rPr>
              <w:t>整备质量</w:t>
            </w:r>
            <w:r>
              <w:rPr>
                <w:rFonts w:ascii="仿宋_GB2312" w:hAnsi="仿宋_GB2312" w:cs="仿宋_GB2312" w:eastAsia="仿宋_GB2312"/>
                <w:sz w:val="21"/>
              </w:rPr>
              <w:t>1000-1200kg</w:t>
            </w:r>
          </w:p>
          <w:p>
            <w:pPr>
              <w:pStyle w:val="null3"/>
              <w:jc w:val="left"/>
            </w:pPr>
            <w:r>
              <w:rPr>
                <w:rFonts w:ascii="仿宋_GB2312" w:hAnsi="仿宋_GB2312" w:cs="仿宋_GB2312" w:eastAsia="仿宋_GB2312"/>
                <w:sz w:val="21"/>
              </w:rPr>
              <w:t>最大允许总质量</w:t>
            </w:r>
            <w:r>
              <w:rPr>
                <w:rFonts w:ascii="仿宋_GB2312" w:hAnsi="仿宋_GB2312" w:cs="仿宋_GB2312" w:eastAsia="仿宋_GB2312"/>
                <w:sz w:val="21"/>
              </w:rPr>
              <w:t>1400 kg</w:t>
            </w:r>
          </w:p>
          <w:p>
            <w:pPr>
              <w:pStyle w:val="null3"/>
              <w:jc w:val="left"/>
            </w:pPr>
            <w:r>
              <w:rPr>
                <w:rFonts w:ascii="仿宋_GB2312" w:hAnsi="仿宋_GB2312" w:cs="仿宋_GB2312" w:eastAsia="仿宋_GB2312"/>
                <w:sz w:val="21"/>
              </w:rPr>
              <w:t>转向形式：</w:t>
            </w:r>
            <w:r>
              <w:rPr>
                <w:rFonts w:ascii="仿宋_GB2312" w:hAnsi="仿宋_GB2312" w:cs="仿宋_GB2312" w:eastAsia="仿宋_GB2312"/>
                <w:sz w:val="21"/>
              </w:rPr>
              <w:t>EPS电动助力转向</w:t>
            </w:r>
          </w:p>
          <w:p>
            <w:pPr>
              <w:pStyle w:val="null3"/>
              <w:jc w:val="left"/>
            </w:pPr>
            <w:r>
              <w:rPr>
                <w:rFonts w:ascii="仿宋_GB2312" w:hAnsi="仿宋_GB2312" w:cs="仿宋_GB2312" w:eastAsia="仿宋_GB2312"/>
                <w:sz w:val="21"/>
              </w:rPr>
              <w:t>制动形式：前盘后盘、液压制动、电动助力、</w:t>
            </w:r>
            <w:r>
              <w:rPr>
                <w:rFonts w:ascii="仿宋_GB2312" w:hAnsi="仿宋_GB2312" w:cs="仿宋_GB2312" w:eastAsia="仿宋_GB2312"/>
                <w:sz w:val="21"/>
              </w:rPr>
              <w:t>ESC</w:t>
            </w:r>
          </w:p>
          <w:p>
            <w:pPr>
              <w:pStyle w:val="null3"/>
              <w:jc w:val="left"/>
            </w:pPr>
            <w:r>
              <w:rPr>
                <w:rFonts w:ascii="仿宋_GB2312" w:hAnsi="仿宋_GB2312" w:cs="仿宋_GB2312" w:eastAsia="仿宋_GB2312"/>
                <w:sz w:val="21"/>
              </w:rPr>
              <w:t>驱动形式：后轮驱动</w:t>
            </w:r>
          </w:p>
          <w:p>
            <w:pPr>
              <w:pStyle w:val="null3"/>
              <w:jc w:val="left"/>
            </w:pPr>
            <w:r>
              <w:rPr>
                <w:rFonts w:ascii="仿宋_GB2312" w:hAnsi="仿宋_GB2312" w:cs="仿宋_GB2312" w:eastAsia="仿宋_GB2312"/>
                <w:sz w:val="21"/>
              </w:rPr>
              <w:t>悬挂系统（前</w:t>
            </w:r>
            <w:r>
              <w:rPr>
                <w:rFonts w:ascii="仿宋_GB2312" w:hAnsi="仿宋_GB2312" w:cs="仿宋_GB2312" w:eastAsia="仿宋_GB2312"/>
                <w:sz w:val="21"/>
              </w:rPr>
              <w:t>/后）：麦弗逊式独立悬挂/双横臂式独立悬挂</w:t>
            </w:r>
          </w:p>
          <w:p>
            <w:pPr>
              <w:pStyle w:val="null3"/>
              <w:jc w:val="left"/>
            </w:pPr>
            <w:r>
              <w:rPr>
                <w:rFonts w:ascii="仿宋_GB2312" w:hAnsi="仿宋_GB2312" w:cs="仿宋_GB2312" w:eastAsia="仿宋_GB2312"/>
                <w:sz w:val="21"/>
              </w:rPr>
              <w:t>驻车制动类型：电子驻车</w:t>
            </w:r>
          </w:p>
          <w:p>
            <w:pPr>
              <w:pStyle w:val="null3"/>
              <w:jc w:val="left"/>
            </w:pPr>
            <w:r>
              <w:rPr>
                <w:rFonts w:ascii="仿宋_GB2312" w:hAnsi="仿宋_GB2312" w:cs="仿宋_GB2312" w:eastAsia="仿宋_GB2312"/>
                <w:sz w:val="21"/>
              </w:rPr>
              <w:t>最高车速：</w:t>
            </w:r>
            <w:r>
              <w:rPr>
                <w:rFonts w:ascii="仿宋_GB2312" w:hAnsi="仿宋_GB2312" w:cs="仿宋_GB2312" w:eastAsia="仿宋_GB2312"/>
                <w:sz w:val="21"/>
              </w:rPr>
              <w:t>≥100 km/h</w:t>
            </w:r>
          </w:p>
          <w:p>
            <w:pPr>
              <w:pStyle w:val="null3"/>
              <w:jc w:val="left"/>
            </w:pPr>
            <w:r>
              <w:rPr>
                <w:rFonts w:ascii="仿宋_GB2312" w:hAnsi="仿宋_GB2312" w:cs="仿宋_GB2312" w:eastAsia="仿宋_GB2312"/>
                <w:sz w:val="21"/>
              </w:rPr>
              <w:t>驱动电机功率</w:t>
            </w:r>
            <w:r>
              <w:rPr>
                <w:rFonts w:ascii="仿宋_GB2312" w:hAnsi="仿宋_GB2312" w:cs="仿宋_GB2312" w:eastAsia="仿宋_GB2312"/>
                <w:sz w:val="21"/>
              </w:rPr>
              <w:t>≥40 kW</w:t>
            </w:r>
          </w:p>
          <w:p>
            <w:pPr>
              <w:pStyle w:val="null3"/>
              <w:jc w:val="left"/>
            </w:pPr>
            <w:r>
              <w:rPr>
                <w:rFonts w:ascii="仿宋_GB2312" w:hAnsi="仿宋_GB2312" w:cs="仿宋_GB2312" w:eastAsia="仿宋_GB2312"/>
                <w:sz w:val="21"/>
              </w:rPr>
              <w:t>驱动电机工作电压</w:t>
            </w:r>
            <w:r>
              <w:rPr>
                <w:rFonts w:ascii="仿宋_GB2312" w:hAnsi="仿宋_GB2312" w:cs="仿宋_GB2312" w:eastAsia="仿宋_GB2312"/>
                <w:sz w:val="21"/>
              </w:rPr>
              <w:t>≥300 V</w:t>
            </w:r>
          </w:p>
          <w:p>
            <w:pPr>
              <w:pStyle w:val="null3"/>
              <w:jc w:val="left"/>
            </w:pPr>
            <w:r>
              <w:rPr>
                <w:rFonts w:ascii="仿宋_GB2312" w:hAnsi="仿宋_GB2312" w:cs="仿宋_GB2312" w:eastAsia="仿宋_GB2312"/>
                <w:sz w:val="21"/>
              </w:rPr>
              <w:t>电池参数</w:t>
            </w:r>
            <w:r>
              <w:rPr>
                <w:rFonts w:ascii="仿宋_GB2312" w:hAnsi="仿宋_GB2312" w:cs="仿宋_GB2312" w:eastAsia="仿宋_GB2312"/>
                <w:sz w:val="21"/>
              </w:rPr>
              <w:t>≥300V/100AH</w:t>
            </w:r>
          </w:p>
          <w:p>
            <w:pPr>
              <w:pStyle w:val="null3"/>
              <w:jc w:val="left"/>
            </w:pPr>
            <w:r>
              <w:rPr>
                <w:rFonts w:ascii="仿宋_GB2312" w:hAnsi="仿宋_GB2312" w:cs="仿宋_GB2312" w:eastAsia="仿宋_GB2312"/>
                <w:sz w:val="21"/>
              </w:rPr>
              <w:t>续航里程</w:t>
            </w:r>
            <w:r>
              <w:rPr>
                <w:rFonts w:ascii="仿宋_GB2312" w:hAnsi="仿宋_GB2312" w:cs="仿宋_GB2312" w:eastAsia="仿宋_GB2312"/>
                <w:sz w:val="21"/>
              </w:rPr>
              <w:t>≥300km（不使用智驾）</w:t>
            </w:r>
          </w:p>
          <w:p>
            <w:pPr>
              <w:pStyle w:val="null3"/>
              <w:jc w:val="left"/>
            </w:pPr>
            <w:r>
              <w:rPr>
                <w:rFonts w:ascii="仿宋_GB2312" w:hAnsi="仿宋_GB2312" w:cs="仿宋_GB2312" w:eastAsia="仿宋_GB2312"/>
                <w:sz w:val="21"/>
              </w:rPr>
              <w:t>最大爬坡度</w:t>
            </w:r>
            <w:r>
              <w:rPr>
                <w:rFonts w:ascii="仿宋_GB2312" w:hAnsi="仿宋_GB2312" w:cs="仿宋_GB2312" w:eastAsia="仿宋_GB2312"/>
                <w:sz w:val="21"/>
              </w:rPr>
              <w:t>≥30 %</w:t>
            </w:r>
          </w:p>
          <w:p>
            <w:pPr>
              <w:pStyle w:val="null3"/>
              <w:jc w:val="left"/>
            </w:pPr>
            <w:r>
              <w:rPr>
                <w:rFonts w:ascii="仿宋_GB2312" w:hAnsi="仿宋_GB2312" w:cs="仿宋_GB2312" w:eastAsia="仿宋_GB2312"/>
                <w:sz w:val="21"/>
              </w:rPr>
              <w:t>最小转弯半径</w:t>
            </w:r>
            <w:r>
              <w:rPr>
                <w:rFonts w:ascii="仿宋_GB2312" w:hAnsi="仿宋_GB2312" w:cs="仿宋_GB2312" w:eastAsia="仿宋_GB2312"/>
                <w:sz w:val="21"/>
              </w:rPr>
              <w:t>≤4.5m</w:t>
            </w:r>
          </w:p>
          <w:p>
            <w:pPr>
              <w:pStyle w:val="null3"/>
              <w:jc w:val="left"/>
            </w:pPr>
            <w:r>
              <w:rPr>
                <w:rFonts w:ascii="仿宋_GB2312" w:hAnsi="仿宋_GB2312" w:cs="仿宋_GB2312" w:eastAsia="仿宋_GB2312"/>
                <w:sz w:val="21"/>
              </w:rPr>
              <w:t>最大制动压力</w:t>
            </w:r>
            <w:r>
              <w:rPr>
                <w:rFonts w:ascii="仿宋_GB2312" w:hAnsi="仿宋_GB2312" w:cs="仿宋_GB2312" w:eastAsia="仿宋_GB2312"/>
                <w:sz w:val="21"/>
              </w:rPr>
              <w:t>≥5 Mpa</w:t>
            </w:r>
          </w:p>
          <w:p>
            <w:pPr>
              <w:pStyle w:val="null3"/>
              <w:jc w:val="left"/>
            </w:pPr>
            <w:r>
              <w:rPr>
                <w:rFonts w:ascii="仿宋_GB2312" w:hAnsi="仿宋_GB2312" w:cs="仿宋_GB2312" w:eastAsia="仿宋_GB2312"/>
                <w:sz w:val="21"/>
              </w:rPr>
              <w:t>通讯协议：</w:t>
            </w:r>
            <w:r>
              <w:rPr>
                <w:rFonts w:ascii="仿宋_GB2312" w:hAnsi="仿宋_GB2312" w:cs="仿宋_GB2312" w:eastAsia="仿宋_GB2312"/>
                <w:sz w:val="21"/>
              </w:rPr>
              <w:t>CAN 2.0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2）支持L4级别自动驾驶算法开发，自动驾驶软件算法需开源，支持甲方二次开发；</w:t>
            </w:r>
          </w:p>
          <w:p>
            <w:pPr>
              <w:pStyle w:val="null3"/>
              <w:jc w:val="left"/>
            </w:pPr>
            <w:r>
              <w:rPr>
                <w:rFonts w:ascii="仿宋_GB2312" w:hAnsi="仿宋_GB2312" w:cs="仿宋_GB2312" w:eastAsia="仿宋_GB2312"/>
                <w:sz w:val="21"/>
              </w:rPr>
              <w:t>高性能计算单元算力需达到车规级，算力需要</w:t>
            </w:r>
            <w:r>
              <w:rPr>
                <w:rFonts w:ascii="仿宋_GB2312" w:hAnsi="仿宋_GB2312" w:cs="仿宋_GB2312" w:eastAsia="仿宋_GB2312"/>
                <w:sz w:val="21"/>
              </w:rPr>
              <w:t>≥200TOPS</w:t>
            </w:r>
          </w:p>
          <w:p>
            <w:pPr>
              <w:pStyle w:val="null3"/>
              <w:jc w:val="left"/>
            </w:pPr>
            <w:r>
              <w:rPr>
                <w:rFonts w:ascii="仿宋_GB2312" w:hAnsi="仿宋_GB2312" w:cs="仿宋_GB2312" w:eastAsia="仿宋_GB2312"/>
                <w:sz w:val="21"/>
              </w:rPr>
              <w:t>具备激光建图、高精度定位、</w:t>
            </w:r>
            <w:r>
              <w:rPr>
                <w:rFonts w:ascii="仿宋_GB2312" w:hAnsi="仿宋_GB2312" w:cs="仿宋_GB2312" w:eastAsia="仿宋_GB2312"/>
                <w:sz w:val="21"/>
              </w:rPr>
              <w:t>2D目标识别、3D障碍物检测、全局自主规划、轨迹跟踪、局部自主避障等多项自驾功能，适配有Autoware.ai系统。</w:t>
            </w:r>
          </w:p>
          <w:p>
            <w:pPr>
              <w:pStyle w:val="null3"/>
              <w:jc w:val="left"/>
            </w:pPr>
            <w:r>
              <w:rPr>
                <w:rFonts w:ascii="仿宋_GB2312" w:hAnsi="仿宋_GB2312" w:cs="仿宋_GB2312" w:eastAsia="仿宋_GB2312"/>
                <w:sz w:val="21"/>
              </w:rPr>
              <w:t>视觉目标检测，需配置</w:t>
            </w:r>
            <w:r>
              <w:rPr>
                <w:rFonts w:ascii="仿宋_GB2312" w:hAnsi="仿宋_GB2312" w:cs="仿宋_GB2312" w:eastAsia="仿宋_GB2312"/>
                <w:sz w:val="21"/>
              </w:rPr>
              <w:t>360°环视相机</w:t>
            </w:r>
          </w:p>
          <w:p>
            <w:pPr>
              <w:pStyle w:val="null3"/>
              <w:jc w:val="left"/>
            </w:pPr>
            <w:r>
              <w:rPr>
                <w:rFonts w:ascii="仿宋_GB2312" w:hAnsi="仿宋_GB2312" w:cs="仿宋_GB2312" w:eastAsia="仿宋_GB2312"/>
                <w:sz w:val="21"/>
              </w:rPr>
              <w:t>可识别行人、车辆等目标；</w:t>
            </w:r>
          </w:p>
          <w:p>
            <w:pPr>
              <w:pStyle w:val="null3"/>
              <w:jc w:val="left"/>
            </w:pPr>
            <w:r>
              <w:rPr>
                <w:rFonts w:ascii="仿宋_GB2312" w:hAnsi="仿宋_GB2312" w:cs="仿宋_GB2312" w:eastAsia="仿宋_GB2312"/>
                <w:sz w:val="21"/>
              </w:rPr>
              <w:t>激光点云目标检测可识别障碍物，支持</w:t>
            </w:r>
            <w:r>
              <w:rPr>
                <w:rFonts w:ascii="仿宋_GB2312" w:hAnsi="仿宋_GB2312" w:cs="仿宋_GB2312" w:eastAsia="仿宋_GB2312"/>
                <w:sz w:val="21"/>
              </w:rPr>
              <w:t>30*15*80cm以上的目标检测；</w:t>
            </w:r>
          </w:p>
          <w:p>
            <w:pPr>
              <w:pStyle w:val="null3"/>
              <w:jc w:val="left"/>
            </w:pPr>
            <w:r>
              <w:rPr>
                <w:rFonts w:ascii="仿宋_GB2312" w:hAnsi="仿宋_GB2312" w:cs="仿宋_GB2312" w:eastAsia="仿宋_GB2312"/>
                <w:sz w:val="21"/>
              </w:rPr>
              <w:t>3D激光点云建图</w:t>
            </w:r>
          </w:p>
          <w:p>
            <w:pPr>
              <w:pStyle w:val="null3"/>
              <w:jc w:val="left"/>
            </w:pPr>
            <w:r>
              <w:rPr>
                <w:rFonts w:ascii="仿宋_GB2312" w:hAnsi="仿宋_GB2312" w:cs="仿宋_GB2312" w:eastAsia="仿宋_GB2312"/>
                <w:sz w:val="21"/>
              </w:rPr>
              <w:t>支持离线建图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高精度矢量地图绘制</w:t>
            </w:r>
          </w:p>
          <w:p>
            <w:pPr>
              <w:pStyle w:val="null3"/>
              <w:jc w:val="left"/>
            </w:pPr>
            <w:r>
              <w:rPr>
                <w:rFonts w:ascii="仿宋_GB2312" w:hAnsi="仿宋_GB2312" w:cs="仿宋_GB2312" w:eastAsia="仿宋_GB2312"/>
                <w:sz w:val="21"/>
              </w:rPr>
              <w:t>定位精度</w:t>
            </w:r>
            <w:r>
              <w:rPr>
                <w:rFonts w:ascii="仿宋_GB2312" w:hAnsi="仿宋_GB2312" w:cs="仿宋_GB2312" w:eastAsia="仿宋_GB2312"/>
                <w:sz w:val="21"/>
              </w:rPr>
              <w:t>≥10cm</w:t>
            </w:r>
          </w:p>
          <w:p>
            <w:pPr>
              <w:pStyle w:val="null3"/>
              <w:jc w:val="left"/>
            </w:pPr>
            <w:r>
              <w:rPr>
                <w:rFonts w:ascii="仿宋_GB2312" w:hAnsi="仿宋_GB2312" w:cs="仿宋_GB2312" w:eastAsia="仿宋_GB2312"/>
                <w:sz w:val="21"/>
              </w:rPr>
              <w:t>高精度组合导航差分定位</w:t>
            </w:r>
          </w:p>
          <w:p>
            <w:pPr>
              <w:pStyle w:val="null3"/>
              <w:jc w:val="left"/>
            </w:pPr>
            <w:r>
              <w:rPr>
                <w:rFonts w:ascii="仿宋_GB2312" w:hAnsi="仿宋_GB2312" w:cs="仿宋_GB2312" w:eastAsia="仿宋_GB2312"/>
                <w:sz w:val="21"/>
              </w:rPr>
              <w:t>定位精度</w:t>
            </w:r>
            <w:r>
              <w:rPr>
                <w:rFonts w:ascii="仿宋_GB2312" w:hAnsi="仿宋_GB2312" w:cs="仿宋_GB2312" w:eastAsia="仿宋_GB2312"/>
                <w:sz w:val="21"/>
              </w:rPr>
              <w:t>≥10cm</w:t>
            </w:r>
          </w:p>
          <w:p>
            <w:pPr>
              <w:pStyle w:val="null3"/>
              <w:jc w:val="left"/>
            </w:pPr>
            <w:r>
              <w:rPr>
                <w:rFonts w:ascii="仿宋_GB2312" w:hAnsi="仿宋_GB2312" w:cs="仿宋_GB2312" w:eastAsia="仿宋_GB2312"/>
                <w:sz w:val="21"/>
              </w:rPr>
              <w:t>轨迹录制</w:t>
            </w:r>
          </w:p>
          <w:p>
            <w:pPr>
              <w:pStyle w:val="null3"/>
              <w:jc w:val="left"/>
            </w:pPr>
            <w:r>
              <w:rPr>
                <w:rFonts w:ascii="仿宋_GB2312" w:hAnsi="仿宋_GB2312" w:cs="仿宋_GB2312" w:eastAsia="仿宋_GB2312"/>
                <w:sz w:val="21"/>
              </w:rPr>
              <w:t>支持在线轨迹录制</w:t>
            </w:r>
          </w:p>
          <w:p>
            <w:pPr>
              <w:pStyle w:val="null3"/>
              <w:jc w:val="left"/>
            </w:pPr>
            <w:r>
              <w:rPr>
                <w:rFonts w:ascii="仿宋_GB2312" w:hAnsi="仿宋_GB2312" w:cs="仿宋_GB2312" w:eastAsia="仿宋_GB2312"/>
                <w:sz w:val="21"/>
              </w:rPr>
              <w:t>轨迹跟踪</w:t>
            </w:r>
          </w:p>
          <w:p>
            <w:pPr>
              <w:pStyle w:val="null3"/>
              <w:jc w:val="left"/>
            </w:pPr>
            <w:r>
              <w:rPr>
                <w:rFonts w:ascii="仿宋_GB2312" w:hAnsi="仿宋_GB2312" w:cs="仿宋_GB2312" w:eastAsia="仿宋_GB2312"/>
                <w:sz w:val="21"/>
              </w:rPr>
              <w:t>支持自定义轨迹跟踪速度</w:t>
            </w:r>
            <w:r>
              <w:rPr>
                <w:rFonts w:ascii="仿宋_GB2312" w:hAnsi="仿宋_GB2312" w:cs="仿宋_GB2312" w:eastAsia="仿宋_GB2312"/>
                <w:sz w:val="21"/>
              </w:rPr>
              <w:t>,以及多条轨迹选择,跟踪精度≥20cm</w:t>
            </w:r>
          </w:p>
          <w:p>
            <w:pPr>
              <w:pStyle w:val="null3"/>
              <w:jc w:val="left"/>
            </w:pPr>
            <w:r>
              <w:rPr>
                <w:rFonts w:ascii="仿宋_GB2312" w:hAnsi="仿宋_GB2312" w:cs="仿宋_GB2312" w:eastAsia="仿宋_GB2312"/>
                <w:sz w:val="21"/>
              </w:rPr>
              <w:t>停障</w:t>
            </w:r>
          </w:p>
          <w:p>
            <w:pPr>
              <w:pStyle w:val="null3"/>
              <w:jc w:val="left"/>
            </w:pPr>
            <w:r>
              <w:rPr>
                <w:rFonts w:ascii="仿宋_GB2312" w:hAnsi="仿宋_GB2312" w:cs="仿宋_GB2312" w:eastAsia="仿宋_GB2312"/>
                <w:sz w:val="21"/>
              </w:rPr>
              <w:t>支持视觉、激光雷达多传感器融合停障</w:t>
            </w:r>
            <w:r>
              <w:rPr>
                <w:rFonts w:ascii="仿宋_GB2312" w:hAnsi="仿宋_GB2312" w:cs="仿宋_GB2312" w:eastAsia="仿宋_GB2312"/>
                <w:sz w:val="21"/>
              </w:rPr>
              <w:t>, 最高可在10km/h速度下工作</w:t>
            </w:r>
          </w:p>
          <w:p>
            <w:pPr>
              <w:pStyle w:val="null3"/>
              <w:jc w:val="left"/>
            </w:pPr>
            <w:r>
              <w:rPr>
                <w:rFonts w:ascii="仿宋_GB2312" w:hAnsi="仿宋_GB2312" w:cs="仿宋_GB2312" w:eastAsia="仿宋_GB2312"/>
                <w:sz w:val="21"/>
              </w:rPr>
              <w:t>避障</w:t>
            </w:r>
          </w:p>
          <w:p>
            <w:pPr>
              <w:pStyle w:val="null3"/>
              <w:jc w:val="left"/>
            </w:pPr>
            <w:r>
              <w:rPr>
                <w:rFonts w:ascii="仿宋_GB2312" w:hAnsi="仿宋_GB2312" w:cs="仿宋_GB2312" w:eastAsia="仿宋_GB2312"/>
                <w:sz w:val="21"/>
              </w:rPr>
              <w:t>需要在</w:t>
            </w:r>
            <w:r>
              <w:rPr>
                <w:rFonts w:ascii="仿宋_GB2312" w:hAnsi="仿宋_GB2312" w:cs="仿宋_GB2312" w:eastAsia="仿宋_GB2312"/>
                <w:sz w:val="21"/>
              </w:rPr>
              <w:t>10km/h速度下安全避开30*15*80cm及更大的障碍物。</w:t>
            </w:r>
          </w:p>
          <w:p>
            <w:pPr>
              <w:pStyle w:val="null3"/>
              <w:jc w:val="left"/>
            </w:pPr>
            <w:r>
              <w:rPr>
                <w:rFonts w:ascii="仿宋_GB2312" w:hAnsi="仿宋_GB2312" w:cs="仿宋_GB2312" w:eastAsia="仿宋_GB2312"/>
                <w:sz w:val="21"/>
              </w:rPr>
              <w:t>需要配置激光雷达、摄像头、定位模块等传感器，能实现基础的定位导航、绕障避障功能，支持二次开发</w:t>
            </w:r>
          </w:p>
          <w:p>
            <w:pPr>
              <w:pStyle w:val="null3"/>
              <w:jc w:val="left"/>
            </w:pPr>
            <w:r>
              <w:rPr>
                <w:rFonts w:ascii="仿宋_GB2312" w:hAnsi="仿宋_GB2312" w:cs="仿宋_GB2312" w:eastAsia="仿宋_GB2312"/>
                <w:sz w:val="21"/>
              </w:rPr>
              <w:t>2.远程驾驶座舱及软件（1套）</w:t>
            </w:r>
          </w:p>
          <w:p>
            <w:pPr>
              <w:pStyle w:val="null3"/>
              <w:jc w:val="left"/>
            </w:pPr>
            <w:r>
              <w:rPr>
                <w:rFonts w:ascii="仿宋_GB2312" w:hAnsi="仿宋_GB2312" w:cs="仿宋_GB2312" w:eastAsia="仿宋_GB2312"/>
                <w:sz w:val="21"/>
              </w:rPr>
              <w:t>远程平行驾驶系统可支持</w:t>
            </w:r>
            <w:r>
              <w:rPr>
                <w:rFonts w:ascii="仿宋_GB2312" w:hAnsi="仿宋_GB2312" w:cs="仿宋_GB2312" w:eastAsia="仿宋_GB2312"/>
                <w:sz w:val="21"/>
              </w:rPr>
              <w:t>4G/5G网络下的实时操控；4G网络下，视频延时100ms左右；4路视频输出，分辨率为720P*25帧，控制信号延时≤50ms，支持驾驶时速0~20km/h；并且支持夜间弱光环境驾驶。</w:t>
            </w:r>
          </w:p>
          <w:p>
            <w:pPr>
              <w:pStyle w:val="null3"/>
              <w:jc w:val="left"/>
            </w:pPr>
            <w:r>
              <w:rPr>
                <w:rFonts w:ascii="仿宋_GB2312" w:hAnsi="仿宋_GB2312" w:cs="仿宋_GB2312" w:eastAsia="仿宋_GB2312"/>
                <w:sz w:val="21"/>
              </w:rPr>
              <w:t>硬件配置如下：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1）座椅与支架：外形尺寸，长度：≥1700mm；宽度；≥1500mm；高度≥1500mm2）底座长度：1500mm；座椅调节角度：180°；整备质量：≤80kg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2）方向盘与踏板：方向盘旋转角度900°；传感器：霍尔效应式转向传感器；额定功率：42瓦；连接方式：USB；其他：双马达力反馈技术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3）驾驶台主机：中央处理器：≥六核十二线程；额定功率：≥400W；显示接口：≥6个HDMI；磁盘空间：≥500G；内存：≥16G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4）显示屏：尺寸：≥23.8英寸；分辨率：≥1920×1080；亮度：≥250cd/㎡；响应时间：≤6ms GTG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5）操作屏：尺寸：≥15.6英寸；分辨率：≥1920×1080；亮度：≥300cd/㎡；接口类型：type-c；响应时间：≤6ms</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6）路由器</w:t>
            </w:r>
          </w:p>
          <w:p>
            <w:pPr>
              <w:pStyle w:val="null3"/>
              <w:jc w:val="left"/>
            </w:pPr>
            <w:r>
              <w:rPr>
                <w:rFonts w:ascii="仿宋_GB2312" w:hAnsi="仿宋_GB2312" w:cs="仿宋_GB2312" w:eastAsia="仿宋_GB2312"/>
                <w:sz w:val="21"/>
              </w:rPr>
              <w:t>端口：</w:t>
            </w:r>
            <w:r>
              <w:rPr>
                <w:rFonts w:ascii="仿宋_GB2312" w:hAnsi="仿宋_GB2312" w:cs="仿宋_GB2312" w:eastAsia="仿宋_GB2312"/>
                <w:sz w:val="21"/>
              </w:rPr>
              <w:t>≥5个10/100/1000Mbps 自适应电口</w:t>
            </w:r>
          </w:p>
          <w:p>
            <w:pPr>
              <w:pStyle w:val="null3"/>
              <w:jc w:val="left"/>
            </w:pPr>
            <w:r>
              <w:rPr>
                <w:rFonts w:ascii="仿宋_GB2312" w:hAnsi="仿宋_GB2312" w:cs="仿宋_GB2312" w:eastAsia="仿宋_GB2312"/>
                <w:sz w:val="21"/>
              </w:rPr>
              <w:t>功耗：</w:t>
            </w:r>
            <w:r>
              <w:rPr>
                <w:rFonts w:ascii="仿宋_GB2312" w:hAnsi="仿宋_GB2312" w:cs="仿宋_GB2312" w:eastAsia="仿宋_GB2312"/>
                <w:sz w:val="21"/>
              </w:rPr>
              <w:t>≤10W</w:t>
            </w:r>
          </w:p>
          <w:p>
            <w:pPr>
              <w:pStyle w:val="null3"/>
              <w:jc w:val="left"/>
            </w:pPr>
            <w:r>
              <w:rPr>
                <w:rFonts w:ascii="仿宋_GB2312" w:hAnsi="仿宋_GB2312" w:cs="仿宋_GB2312" w:eastAsia="仿宋_GB2312"/>
                <w:sz w:val="21"/>
              </w:rPr>
              <w:t>软件功能：集成包括</w:t>
            </w:r>
            <w:r>
              <w:rPr>
                <w:rFonts w:ascii="仿宋_GB2312" w:hAnsi="仿宋_GB2312" w:cs="仿宋_GB2312" w:eastAsia="仿宋_GB2312"/>
                <w:sz w:val="21"/>
              </w:rPr>
              <w:t>DPI 流控、负载均衡、网关、AC、认证服务器等功能</w:t>
            </w:r>
          </w:p>
          <w:p>
            <w:pPr>
              <w:pStyle w:val="null3"/>
              <w:jc w:val="left"/>
            </w:pPr>
            <w:r>
              <w:rPr>
                <w:rFonts w:ascii="仿宋_GB2312" w:hAnsi="仿宋_GB2312" w:cs="仿宋_GB2312" w:eastAsia="仿宋_GB2312"/>
                <w:sz w:val="21"/>
              </w:rPr>
              <w:t>工作温度：</w:t>
            </w:r>
            <w:r>
              <w:rPr>
                <w:rFonts w:ascii="仿宋_GB2312" w:hAnsi="仿宋_GB2312" w:cs="仿宋_GB2312" w:eastAsia="仿宋_GB2312"/>
                <w:sz w:val="21"/>
              </w:rPr>
              <w:t>-10℃~55℃</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7）计算单元：处理器：≥四核心八线程；最高频率：4.2GHz；内存：≥8G，存储：≥128G，USB接口：≥6个，网络接口：≥2个；电源：DC 9~36V，尺寸：≤250*150*90mm；工作温度：≥-20℃~60℃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8）车载摄像头：像素大小：≥2.9μm×2.9μm，输出分辨率：≥1920×1080，帧率：≥30帧/秒；可视角度：≥150°</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9）车载网络模组：处理器：频率≥1GHz双核心；工作温度：≥-35～+75ºC</w:t>
            </w:r>
          </w:p>
          <w:p>
            <w:pPr>
              <w:pStyle w:val="null3"/>
              <w:jc w:val="left"/>
            </w:pPr>
            <w:r>
              <w:rPr>
                <w:rFonts w:ascii="仿宋_GB2312" w:hAnsi="仿宋_GB2312" w:cs="仿宋_GB2312" w:eastAsia="仿宋_GB2312"/>
                <w:sz w:val="21"/>
              </w:rPr>
              <w:t>工作电压：</w:t>
            </w:r>
            <w:r>
              <w:rPr>
                <w:rFonts w:ascii="仿宋_GB2312" w:hAnsi="仿宋_GB2312" w:cs="仿宋_GB2312" w:eastAsia="仿宋_GB2312"/>
                <w:sz w:val="21"/>
              </w:rPr>
              <w:t>DC 9~36V；MTBF：≥100,000小时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10）线控通信模组：接口：USB to microUSB；协议：CAN（支持socket CAN）</w:t>
            </w:r>
          </w:p>
          <w:p>
            <w:pPr>
              <w:pStyle w:val="null3"/>
              <w:jc w:val="left"/>
            </w:pPr>
            <w:r>
              <w:rPr>
                <w:rFonts w:ascii="仿宋_GB2312" w:hAnsi="仿宋_GB2312" w:cs="仿宋_GB2312" w:eastAsia="仿宋_GB2312"/>
                <w:sz w:val="21"/>
              </w:rPr>
              <w:t>可适配平行驾驶软件算法、虚拟仿真软件算法</w:t>
            </w:r>
          </w:p>
          <w:p>
            <w:pPr>
              <w:pStyle w:val="null3"/>
              <w:jc w:val="left"/>
            </w:pPr>
            <w:r>
              <w:rPr>
                <w:rFonts w:ascii="仿宋_GB2312" w:hAnsi="仿宋_GB2312" w:cs="仿宋_GB2312" w:eastAsia="仿宋_GB2312"/>
                <w:sz w:val="21"/>
              </w:rPr>
              <w:t>一键急停：点击急停按键使被控车辆立即进入制动状态并驻车</w:t>
            </w:r>
          </w:p>
          <w:p>
            <w:pPr>
              <w:pStyle w:val="null3"/>
              <w:jc w:val="left"/>
            </w:pPr>
            <w:r>
              <w:rPr>
                <w:rFonts w:ascii="仿宋_GB2312" w:hAnsi="仿宋_GB2312" w:cs="仿宋_GB2312" w:eastAsia="仿宋_GB2312"/>
                <w:sz w:val="21"/>
              </w:rPr>
              <w:t>一键接管：点击远程按键获取被控车辆操控权限，进入远程操控状态</w:t>
            </w:r>
          </w:p>
          <w:p>
            <w:pPr>
              <w:pStyle w:val="null3"/>
              <w:jc w:val="left"/>
            </w:pPr>
            <w:r>
              <w:rPr>
                <w:rFonts w:ascii="仿宋_GB2312" w:hAnsi="仿宋_GB2312" w:cs="仿宋_GB2312" w:eastAsia="仿宋_GB2312"/>
                <w:sz w:val="21"/>
              </w:rPr>
              <w:t>远程操控车辆：控制远程车辆行驶、制动、转向，以及鸣笛、灯光控制等操作</w:t>
            </w:r>
          </w:p>
          <w:p>
            <w:pPr>
              <w:pStyle w:val="null3"/>
              <w:jc w:val="left"/>
            </w:pPr>
            <w:r>
              <w:rPr>
                <w:rFonts w:ascii="仿宋_GB2312" w:hAnsi="仿宋_GB2312" w:cs="仿宋_GB2312" w:eastAsia="仿宋_GB2312"/>
                <w:sz w:val="21"/>
              </w:rPr>
              <w:t>参数显示：将车辆状态、传感器状态、当前位置等信息在显示屏显示</w:t>
            </w:r>
          </w:p>
          <w:p>
            <w:pPr>
              <w:pStyle w:val="null3"/>
              <w:jc w:val="left"/>
            </w:pPr>
            <w:r>
              <w:rPr>
                <w:rFonts w:ascii="仿宋_GB2312" w:hAnsi="仿宋_GB2312" w:cs="仿宋_GB2312" w:eastAsia="仿宋_GB2312"/>
                <w:sz w:val="21"/>
              </w:rPr>
              <w:t>驾驶员管理系统：支持驾驶员专用账号，分配车辆权限，操作权限</w:t>
            </w:r>
          </w:p>
          <w:p>
            <w:pPr>
              <w:pStyle w:val="null3"/>
              <w:jc w:val="left"/>
            </w:pPr>
            <w:r>
              <w:rPr>
                <w:rFonts w:ascii="仿宋_GB2312" w:hAnsi="仿宋_GB2312" w:cs="仿宋_GB2312" w:eastAsia="仿宋_GB2312"/>
                <w:sz w:val="21"/>
              </w:rPr>
              <w:t>后台数据记录：操控指令数据与视频数据滚动记录于本地</w:t>
            </w:r>
          </w:p>
          <w:p>
            <w:pPr>
              <w:pStyle w:val="null3"/>
              <w:jc w:val="left"/>
            </w:pPr>
            <w:r>
              <w:rPr>
                <w:rFonts w:ascii="仿宋_GB2312" w:hAnsi="仿宋_GB2312" w:cs="仿宋_GB2312" w:eastAsia="仿宋_GB2312"/>
                <w:sz w:val="21"/>
              </w:rPr>
              <w:t>多车切换：驾驶舱可切换账号下任一车辆进行控制</w:t>
            </w:r>
          </w:p>
          <w:p>
            <w:pPr>
              <w:pStyle w:val="null3"/>
              <w:jc w:val="left"/>
            </w:pPr>
            <w:r>
              <w:rPr>
                <w:rFonts w:ascii="仿宋_GB2312" w:hAnsi="仿宋_GB2312" w:cs="仿宋_GB2312" w:eastAsia="仿宋_GB2312"/>
                <w:sz w:val="21"/>
              </w:rPr>
              <w:t>语音对讲：驾驶舱耳麦与现场车辆互联，可实时语音通信</w:t>
            </w:r>
          </w:p>
          <w:p>
            <w:pPr>
              <w:pStyle w:val="null3"/>
              <w:jc w:val="left"/>
            </w:pPr>
            <w:r>
              <w:rPr>
                <w:rFonts w:ascii="仿宋_GB2312" w:hAnsi="仿宋_GB2312" w:cs="仿宋_GB2312" w:eastAsia="仿宋_GB2312"/>
                <w:sz w:val="21"/>
              </w:rPr>
              <w:t>防碰撞：超声波主动安全系统，低于安全距离警告或制动</w:t>
            </w:r>
          </w:p>
          <w:p>
            <w:pPr>
              <w:pStyle w:val="null3"/>
              <w:jc w:val="left"/>
            </w:pPr>
            <w:r>
              <w:rPr>
                <w:rFonts w:ascii="仿宋_GB2312" w:hAnsi="仿宋_GB2312" w:cs="仿宋_GB2312" w:eastAsia="仿宋_GB2312"/>
                <w:sz w:val="21"/>
              </w:rPr>
              <w:t>网络监测系统：发生网络延时过大或断网及时主动停车</w:t>
            </w:r>
          </w:p>
          <w:p>
            <w:pPr>
              <w:pStyle w:val="null3"/>
              <w:jc w:val="left"/>
            </w:pPr>
            <w:r>
              <w:rPr>
                <w:rFonts w:ascii="仿宋_GB2312" w:hAnsi="仿宋_GB2312" w:cs="仿宋_GB2312" w:eastAsia="仿宋_GB2312"/>
                <w:sz w:val="21"/>
                <w:b/>
              </w:rPr>
              <w:t>需要有物理座舱，可适配仿真软件和远程驾驶软件算法</w:t>
            </w:r>
          </w:p>
          <w:p>
            <w:pPr>
              <w:pStyle w:val="null3"/>
              <w:jc w:val="left"/>
            </w:pPr>
            <w:r>
              <w:rPr>
                <w:rFonts w:ascii="仿宋_GB2312" w:hAnsi="仿宋_GB2312" w:cs="仿宋_GB2312" w:eastAsia="仿宋_GB2312"/>
                <w:sz w:val="21"/>
                <w:b/>
              </w:rPr>
              <w:t>其他：</w:t>
            </w:r>
            <w:r>
              <w:rPr>
                <w:rFonts w:ascii="仿宋_GB2312" w:hAnsi="仿宋_GB2312" w:cs="仿宋_GB2312" w:eastAsia="仿宋_GB2312"/>
                <w:sz w:val="21"/>
              </w:rPr>
              <w:t>派遣专业工程师现场部署培训</w:t>
            </w:r>
            <w:r>
              <w:rPr>
                <w:rFonts w:ascii="仿宋_GB2312" w:hAnsi="仿宋_GB2312" w:cs="仿宋_GB2312" w:eastAsia="仿宋_GB2312"/>
                <w:sz w:val="21"/>
              </w:rPr>
              <w:t>1天，保证甲方会正确使用产品，提供产品操作手册，并替甲方部署好自动驾驶路线。</w:t>
            </w:r>
          </w:p>
          <w:p>
            <w:pPr>
              <w:pStyle w:val="null3"/>
              <w:jc w:val="both"/>
            </w:pPr>
            <w:r>
              <w:rPr>
                <w:rFonts w:ascii="仿宋_GB2312" w:hAnsi="仿宋_GB2312" w:cs="仿宋_GB2312" w:eastAsia="仿宋_GB2312"/>
                <w:sz w:val="21"/>
              </w:rPr>
              <w:t>整车质保一年，线上建立售后微信群，质保期间</w:t>
            </w:r>
            <w:r>
              <w:rPr>
                <w:rFonts w:ascii="仿宋_GB2312" w:hAnsi="仿宋_GB2312" w:cs="仿宋_GB2312" w:eastAsia="仿宋_GB2312"/>
                <w:sz w:val="21"/>
              </w:rPr>
              <w:t>7*24h随时响应技术问题。</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领取中标通知书后6个月内完成交付、安装及调试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西安建筑科技大学雁塔校区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签订合同后，设备到达指定地点、安装调试完成并验收合格后，甲方通过银行电汇付给乙方全额货款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自验收合格通过之日起1年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谈判保证金注意事项：（1）谈判保证金须从供应商户名支付，如从个人户名或非供应商户名支付，将被拒绝，视为自动放弃谈判权利（该个人是供应商的情形除外）；以保函形式交纳谈判保证金的，供应商应在谈判截止时间前将保函扫描成清晰的PDF文件，发送至邮箱869388247@qq.com（邮件命名：项目编号），并将保函原件单独递交至代理机构财务；供应商应在谈判文件中附保函复印件。保函必须由具有开具谈判保函资格的单位开具；若供应商违约，开具保函单位承担连带责任；（2）谈判保证金的提交金额、时间不满足招标文件要求的，谈判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任意一个月的纳税证明或完税证明，纳税证明或完税证明上应有代收机构或税务机关的公章或业务专用章；其他组织和自然人提供自2024年5月1日以来任意一个月缴纳税收的凭据；依法免税的供应商应提供相关文件证明 ； ③社会保障资金缴纳证明：提供自2024年5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法定代表人参加谈判的，须提供身份证复印件；法定代表人授权本单位他人参加谈判的，须提供法定代表人授权委托书。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响应文件是否按竞争性谈判文件要求签署、盖章的</w:t>
            </w:r>
          </w:p>
        </w:tc>
        <w:tc>
          <w:tcPr>
            <w:tcW w:type="dxa" w:w="3322"/>
          </w:tcPr>
          <w:p>
            <w:pPr>
              <w:pStyle w:val="null3"/>
            </w:pPr>
            <w:r>
              <w:rPr>
                <w:rFonts w:ascii="仿宋_GB2312" w:hAnsi="仿宋_GB2312" w:cs="仿宋_GB2312" w:eastAsia="仿宋_GB2312"/>
              </w:rPr>
              <w:t>响应文件应当按采购文件要求签署、盖章，否则谈判小组应当将其响应文件作为无效处理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报价是否超过竞争性谈判文件中规定的最高限价的</w:t>
            </w:r>
          </w:p>
        </w:tc>
        <w:tc>
          <w:tcPr>
            <w:tcW w:type="dxa" w:w="3322"/>
          </w:tcPr>
          <w:p>
            <w:pPr>
              <w:pStyle w:val="null3"/>
            </w:pPr>
            <w:r>
              <w:rPr>
                <w:rFonts w:ascii="仿宋_GB2312" w:hAnsi="仿宋_GB2312" w:cs="仿宋_GB2312" w:eastAsia="仿宋_GB2312"/>
              </w:rPr>
              <w:t>响应文件的报价应当不超过采购文件中规定的最高限价，否则谈判小组应当将其响应文件作为无效处理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是否发现法律、法规和采购文件规定的其他无效情形</w:t>
            </w:r>
          </w:p>
        </w:tc>
        <w:tc>
          <w:tcPr>
            <w:tcW w:type="dxa" w:w="3322"/>
          </w:tcPr>
          <w:p>
            <w:pPr>
              <w:pStyle w:val="null3"/>
            </w:pPr>
            <w:r>
              <w:rPr>
                <w:rFonts w:ascii="仿宋_GB2312" w:hAnsi="仿宋_GB2312" w:cs="仿宋_GB2312" w:eastAsia="仿宋_GB2312"/>
              </w:rPr>
              <w:t>响应文件未发现法律、法规和采购文件规定的其他无效情形，否则谈判小组应当将其响应文件作为无效处理。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详见附件：谈判保证金缴纳.docx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详见附件：谈判响应方案.docx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