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版本号：SXLX25-02-055Z(F)20250707001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陕西省司法厅2025年度厅机关健康体检项目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SXLX25-02-055Z(F)</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陕西省司法厅2025年度厅机关健康体检项目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SXLX25-02-055Z(F)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陕西省司法厅2025年度厅机关健康体检项目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陕西省司法厅2025年度厅机关健康体检项目，厅机关正式干部职工（含离退休人员）以及法治宣传中心、法律援助中心，长期借调、跟班学习、聘用及物业部分服务人员，共计398人。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1、特定资格要求：供应商应具有卫生行政部门核准登记取得的《医疗机构执业许可证》和《放射诊疗许可证》。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采购包1：557,200.00元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 0406 4810 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采购预算为基础，参照《国家计委关于印发招标代理服务收费管理暂行办法的通知》（计价格〔2002〕1980号）和国家发改委办公厅颁发的《关于招标代理服务收费有关问题的通知》（发改办价格〔2003〕857号）文件规定标准收取。以上费用由成交供应商支付，具体收费金额将在成交公告中公布。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联系人：魏晴霏、王小琼、任甜</w:t>
      </w:r>
    </w:p>
    <w:p>
      <w:pPr>
        <w:pStyle w:val="null3"/>
      </w:pPr>
      <w:r>
        <w:rPr>
          <w:rFonts w:ascii="仿宋_GB2312" w:hAnsi="仿宋_GB2312" w:cs="仿宋_GB2312" w:eastAsia="仿宋_GB2312"/>
        </w:rPr>
        <w:t>联系电话：029-88489979-8205</w:t>
      </w:r>
    </w:p>
    <w:p>
      <w:pPr>
        <w:pStyle w:val="null3"/>
      </w:pPr>
      <w:r>
        <w:rPr>
          <w:rFonts w:ascii="仿宋_GB2312" w:hAnsi="仿宋_GB2312" w:cs="仿宋_GB2312" w:eastAsia="仿宋_GB2312"/>
        </w:rPr>
        <w:t>地址：陕西省西安市雁塔区雁翔路111号赛格·中京坊公寓A一单元二层招标二部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陕西省司法厅2025年度厅机关健康体检项目，厅机关正式干部职工（含离退休人员）以及法治宣传中心、法律援助中心，长期借调、跟班学习、聘用及物业部分服务人员，共计398人。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557,200.00</w:t>
      </w:r>
    </w:p>
    <w:p>
      <w:pPr>
        <w:pStyle w:val="null3"/>
      </w:pPr>
      <w:r>
        <w:rPr>
          <w:rFonts w:ascii="仿宋_GB2312" w:hAnsi="仿宋_GB2312" w:cs="仿宋_GB2312" w:eastAsia="仿宋_GB2312"/>
        </w:rPr>
        <w:t>采购包最高限价（元）: 557,200.00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2025年省司法厅机关体检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557,200.00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标的名称：2025年省司法厅机关体检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项目概况</w:t>
            </w:r>
          </w:p>
          <w:p>
            <w:pPr>
              <w:pStyle w:val="null3"/>
              <w:ind w:firstLine="420"/>
              <w:jc w:val="both"/>
            </w:pPr>
            <w:r>
              <w:rPr>
                <w:rFonts w:ascii="仿宋_GB2312" w:hAnsi="仿宋_GB2312" w:cs="仿宋_GB2312" w:eastAsia="仿宋_GB2312"/>
                <w:sz w:val="21"/>
                <w:shd w:fill="FFFFFF" w:val="clear"/>
              </w:rPr>
              <w:t>陕西省司法厅</w:t>
            </w:r>
            <w:r>
              <w:rPr>
                <w:rFonts w:ascii="仿宋_GB2312" w:hAnsi="仿宋_GB2312" w:cs="仿宋_GB2312" w:eastAsia="仿宋_GB2312"/>
                <w:sz w:val="21"/>
                <w:shd w:fill="FFFFFF" w:val="clear"/>
              </w:rPr>
              <w:t>2025年度厅机关健康体检项目</w:t>
            </w:r>
            <w:r>
              <w:rPr>
                <w:rFonts w:ascii="仿宋_GB2312" w:hAnsi="仿宋_GB2312" w:cs="仿宋_GB2312" w:eastAsia="仿宋_GB2312"/>
                <w:sz w:val="21"/>
                <w:shd w:fill="FFFFFF" w:val="clear"/>
              </w:rPr>
              <w:t>，厅机关正式干部职工（含离退休人员）以及</w:t>
            </w:r>
            <w:r>
              <w:rPr>
                <w:rFonts w:ascii="仿宋_GB2312" w:hAnsi="仿宋_GB2312" w:cs="仿宋_GB2312" w:eastAsia="仿宋_GB2312"/>
                <w:sz w:val="21"/>
                <w:shd w:fill="FFFFFF" w:val="clear"/>
              </w:rPr>
              <w:t>法治宣传中心、法律援助中心，长期借调、跟班学习、聘用及物业部分服务人员</w:t>
            </w:r>
            <w:r>
              <w:rPr>
                <w:rFonts w:ascii="仿宋_GB2312" w:hAnsi="仿宋_GB2312" w:cs="仿宋_GB2312" w:eastAsia="仿宋_GB2312"/>
                <w:sz w:val="21"/>
                <w:shd w:fill="FFFFFF" w:val="clear"/>
              </w:rPr>
              <w:t>，共计</w:t>
            </w:r>
            <w:r>
              <w:rPr>
                <w:rFonts w:ascii="仿宋_GB2312" w:hAnsi="仿宋_GB2312" w:cs="仿宋_GB2312" w:eastAsia="仿宋_GB2312"/>
                <w:sz w:val="21"/>
                <w:shd w:fill="FFFFFF" w:val="clear"/>
              </w:rPr>
              <w:t>398</w:t>
            </w:r>
            <w:r>
              <w:rPr>
                <w:rFonts w:ascii="仿宋_GB2312" w:hAnsi="仿宋_GB2312" w:cs="仿宋_GB2312" w:eastAsia="仿宋_GB2312"/>
                <w:sz w:val="21"/>
                <w:shd w:fill="FFFFFF" w:val="clear"/>
              </w:rPr>
              <w:t>人。</w:t>
            </w:r>
          </w:p>
          <w:p>
            <w:pPr>
              <w:pStyle w:val="null3"/>
              <w:ind w:firstLine="420"/>
              <w:jc w:val="both"/>
            </w:pPr>
            <w:r>
              <w:rPr>
                <w:rFonts w:ascii="仿宋_GB2312" w:hAnsi="仿宋_GB2312" w:cs="仿宋_GB2312" w:eastAsia="仿宋_GB2312"/>
                <w:sz w:val="21"/>
                <w:b/>
                <w:shd w:fill="FFFFFF" w:val="clear"/>
              </w:rPr>
              <w:t>本项目所属行业为其他未列明行业。</w:t>
            </w:r>
            <w:r>
              <w:rPr>
                <w:rFonts w:ascii="仿宋_GB2312" w:hAnsi="仿宋_GB2312" w:cs="仿宋_GB2312" w:eastAsia="仿宋_GB2312"/>
                <w:sz w:val="21"/>
                <w:shd w:fill="FFFFFF" w:val="clear"/>
              </w:rPr>
              <w:t>（从业人员</w:t>
            </w:r>
            <w:r>
              <w:rPr>
                <w:rFonts w:ascii="仿宋_GB2312" w:hAnsi="仿宋_GB2312" w:cs="仿宋_GB2312" w:eastAsia="仿宋_GB2312"/>
                <w:sz w:val="21"/>
                <w:shd w:fill="FFFFFF" w:val="clear"/>
              </w:rPr>
              <w:t>300人以下的为中小微型企业。其中，从业人员100人及以上的为中型企业；从业人员10人及以上的为小型企业；从业人员10人以下的为微型企业。）</w:t>
            </w:r>
          </w:p>
          <w:p>
            <w:pPr>
              <w:pStyle w:val="null3"/>
              <w:spacing w:before="90" w:after="90"/>
              <w:jc w:val="both"/>
            </w:pPr>
            <w:r>
              <w:rPr>
                <w:rFonts w:ascii="仿宋_GB2312" w:hAnsi="仿宋_GB2312" w:cs="仿宋_GB2312" w:eastAsia="仿宋_GB2312"/>
                <w:sz w:val="21"/>
                <w:b/>
              </w:rPr>
              <w:t>二、服务内容</w:t>
            </w:r>
            <w:r>
              <w:rPr>
                <w:rFonts w:ascii="仿宋_GB2312" w:hAnsi="仿宋_GB2312" w:cs="仿宋_GB2312" w:eastAsia="仿宋_GB2312"/>
                <w:sz w:val="21"/>
                <w:b/>
              </w:rPr>
              <w:t>（</w:t>
            </w:r>
            <w:r>
              <w:rPr>
                <w:rFonts w:ascii="仿宋_GB2312" w:hAnsi="仿宋_GB2312" w:cs="仿宋_GB2312" w:eastAsia="仿宋_GB2312"/>
                <w:sz w:val="21"/>
                <w:b/>
                <w:shd w:fill="FFFFFF" w:val="clear"/>
              </w:rPr>
              <w:t>带有</w:t>
            </w:r>
            <w:r>
              <w:rPr>
                <w:rFonts w:ascii="仿宋_GB2312" w:hAnsi="仿宋_GB2312" w:cs="仿宋_GB2312" w:eastAsia="仿宋_GB2312"/>
                <w:sz w:val="21"/>
              </w:rPr>
              <w:t>★</w:t>
            </w:r>
            <w:r>
              <w:rPr>
                <w:rFonts w:ascii="仿宋_GB2312" w:hAnsi="仿宋_GB2312" w:cs="仿宋_GB2312" w:eastAsia="仿宋_GB2312"/>
                <w:sz w:val="21"/>
                <w:b/>
                <w:shd w:fill="FFFFFF" w:val="clear"/>
              </w:rPr>
              <w:t>号的条款为实质性条款不得有偏离</w:t>
            </w:r>
            <w:r>
              <w:rPr>
                <w:rFonts w:ascii="仿宋_GB2312" w:hAnsi="仿宋_GB2312" w:cs="仿宋_GB2312" w:eastAsia="仿宋_GB2312"/>
                <w:sz w:val="21"/>
                <w:b/>
              </w:rPr>
              <w:t>）</w:t>
            </w:r>
          </w:p>
          <w:p>
            <w:pPr>
              <w:pStyle w:val="null3"/>
              <w:spacing w:before="90" w:after="90"/>
              <w:jc w:val="both"/>
            </w:pPr>
            <w:r>
              <w:rPr>
                <w:rFonts w:ascii="仿宋_GB2312" w:hAnsi="仿宋_GB2312" w:cs="仿宋_GB2312" w:eastAsia="仿宋_GB2312"/>
                <w:sz w:val="21"/>
                <w:shd w:fill="FFFFFF" w:val="clear"/>
              </w:rPr>
              <w:t xml:space="preserve">   1、体检人数：厅机关正式干部职工（含离退休人员）以及长期借调、聘用及物业部分服务人员，共计398人。</w:t>
            </w:r>
          </w:p>
          <w:p>
            <w:pPr>
              <w:pStyle w:val="null3"/>
            </w:pPr>
            <w:r>
              <w:rPr>
                <w:rFonts w:ascii="仿宋_GB2312" w:hAnsi="仿宋_GB2312" w:cs="仿宋_GB2312" w:eastAsia="仿宋_GB2312"/>
                <w:sz w:val="21"/>
                <w:shd w:fill="FFFFFF" w:val="clear"/>
              </w:rPr>
              <w:t xml:space="preserve">  ★2、体检标准：固定单价1400元/人。如供应商报价未按此要求报价，按无效响应文件处理。</w:t>
            </w:r>
          </w:p>
          <w:p>
            <w:pPr>
              <w:pStyle w:val="null3"/>
            </w:pPr>
            <w:r>
              <w:rPr>
                <w:rFonts w:ascii="仿宋_GB2312" w:hAnsi="仿宋_GB2312" w:cs="仿宋_GB2312" w:eastAsia="仿宋_GB2312"/>
                <w:sz w:val="21"/>
                <w:shd w:fill="FFFFFF" w:val="clear"/>
              </w:rPr>
              <w:t xml:space="preserve">   3、本次体检不接受降低体检费用标准，不设置基本体检项目，由供应商按40岁以上男、女和40岁以下男、女、未婚女分别设计体检套餐，标准不低于1400元/人，体检套餐科学合理、性价比高。</w:t>
            </w:r>
          </w:p>
          <w:p>
            <w:pPr>
              <w:pStyle w:val="null3"/>
            </w:pPr>
            <w:r>
              <w:rPr>
                <w:rFonts w:ascii="仿宋_GB2312" w:hAnsi="仿宋_GB2312" w:cs="仿宋_GB2312" w:eastAsia="仿宋_GB2312"/>
                <w:sz w:val="21"/>
                <w:shd w:fill="FFFFFF" w:val="clear"/>
              </w:rPr>
              <w:t xml:space="preserve">   4、针对本项目有其他可供选择的自费体检项目，并针对所有自费项目明确优惠比例。</w:t>
            </w:r>
          </w:p>
          <w:p>
            <w:pPr>
              <w:pStyle w:val="null3"/>
            </w:pPr>
            <w:r>
              <w:rPr>
                <w:rFonts w:ascii="仿宋_GB2312" w:hAnsi="仿宋_GB2312" w:cs="仿宋_GB2312" w:eastAsia="仿宋_GB2312"/>
                <w:sz w:val="21"/>
                <w:shd w:fill="FFFFFF" w:val="clear"/>
              </w:rPr>
              <w:t xml:space="preserve">   5、供应商必须在本地有体检服务点。</w:t>
            </w:r>
          </w:p>
          <w:p>
            <w:pPr>
              <w:pStyle w:val="null3"/>
            </w:pPr>
            <w:r>
              <w:rPr>
                <w:rFonts w:ascii="仿宋_GB2312" w:hAnsi="仿宋_GB2312" w:cs="仿宋_GB2312" w:eastAsia="仿宋_GB2312"/>
                <w:sz w:val="21"/>
                <w:shd w:fill="FFFFFF" w:val="clear"/>
              </w:rPr>
              <w:t xml:space="preserve">   6、供应商在响应文件中注明是否提供接送、早餐等服务，也可提供质量保证或附加赠送的其他优惠政策，如有其他特殊说明，请在响应文件中一并列明。</w:t>
            </w:r>
          </w:p>
          <w:p>
            <w:pPr>
              <w:pStyle w:val="null3"/>
              <w:jc w:val="both"/>
            </w:pPr>
            <w:r>
              <w:rPr>
                <w:rFonts w:ascii="仿宋_GB2312" w:hAnsi="仿宋_GB2312" w:cs="仿宋_GB2312" w:eastAsia="仿宋_GB2312"/>
                <w:sz w:val="21"/>
                <w:b/>
                <w:shd w:fill="FFFFFF" w:val="clear"/>
              </w:rPr>
              <w:t>三、服务要求</w:t>
            </w:r>
          </w:p>
          <w:p>
            <w:pPr>
              <w:pStyle w:val="null3"/>
              <w:ind w:firstLine="420"/>
              <w:jc w:val="left"/>
            </w:pPr>
            <w:r>
              <w:rPr>
                <w:rFonts w:ascii="仿宋_GB2312" w:hAnsi="仿宋_GB2312" w:cs="仿宋_GB2312" w:eastAsia="仿宋_GB2312"/>
                <w:sz w:val="21"/>
                <w:shd w:fill="FFFFFF" w:val="clear"/>
              </w:rPr>
              <w:t>1.本次体检应在当地进行，在体检期间做好标识标牌，保证参检人员方便快捷进行各项体检。</w:t>
            </w:r>
          </w:p>
          <w:p>
            <w:pPr>
              <w:pStyle w:val="null3"/>
              <w:ind w:firstLine="420"/>
              <w:jc w:val="left"/>
            </w:pPr>
            <w:r>
              <w:rPr>
                <w:rFonts w:ascii="仿宋_GB2312" w:hAnsi="仿宋_GB2312" w:cs="仿宋_GB2312" w:eastAsia="仿宋_GB2312"/>
                <w:sz w:val="21"/>
                <w:shd w:fill="FFFFFF" w:val="clear"/>
              </w:rPr>
              <w:t>2.体检机构应对参检人员信息进行核对，确认核对是本人后方可体检。</w:t>
            </w:r>
          </w:p>
          <w:p>
            <w:pPr>
              <w:pStyle w:val="null3"/>
              <w:ind w:firstLine="420"/>
              <w:jc w:val="left"/>
            </w:pPr>
            <w:r>
              <w:rPr>
                <w:rFonts w:ascii="仿宋_GB2312" w:hAnsi="仿宋_GB2312" w:cs="仿宋_GB2312" w:eastAsia="仿宋_GB2312"/>
                <w:sz w:val="21"/>
                <w:shd w:fill="FFFFFF" w:val="clear"/>
              </w:rPr>
              <w:t>3.本着科学、严谨的工作态度，严格按医疗规范标准执行，确保向参检人员提供切实可信的体检，涉及个人隐私应告知本人，不得向第三方传播。</w:t>
            </w:r>
          </w:p>
          <w:p>
            <w:pPr>
              <w:pStyle w:val="null3"/>
              <w:ind w:firstLine="420"/>
              <w:jc w:val="left"/>
            </w:pPr>
            <w:r>
              <w:rPr>
                <w:rFonts w:ascii="仿宋_GB2312" w:hAnsi="仿宋_GB2312" w:cs="仿宋_GB2312" w:eastAsia="仿宋_GB2312"/>
                <w:sz w:val="21"/>
                <w:shd w:fill="FFFFFF" w:val="clear"/>
              </w:rPr>
              <w:t>4.按规定的检查项目内容为参检人员提供对应的体检服务和体检器材,保证一人一针一管（器），器材符合国家卫生标准。</w:t>
            </w:r>
          </w:p>
          <w:p>
            <w:pPr>
              <w:pStyle w:val="null3"/>
              <w:ind w:right="-195"/>
              <w:jc w:val="left"/>
            </w:pPr>
            <w:r>
              <w:rPr>
                <w:rFonts w:ascii="仿宋_GB2312" w:hAnsi="仿宋_GB2312" w:cs="仿宋_GB2312" w:eastAsia="仿宋_GB2312"/>
                <w:sz w:val="21"/>
                <w:b/>
                <w:color w:val="000000"/>
                <w:shd w:fill="FFFFFF" w:val="clear"/>
              </w:rPr>
              <w:t>四、本项目需要落实的政府采购政策：</w:t>
            </w:r>
          </w:p>
          <w:p>
            <w:pPr>
              <w:pStyle w:val="null3"/>
              <w:ind w:right="-195" w:firstLine="420"/>
              <w:jc w:val="left"/>
            </w:pPr>
            <w:r>
              <w:rPr>
                <w:rFonts w:ascii="仿宋_GB2312" w:hAnsi="仿宋_GB2312" w:cs="仿宋_GB2312" w:eastAsia="仿宋_GB2312"/>
                <w:sz w:val="21"/>
                <w:color w:val="000000"/>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ind w:right="-195" w:firstLine="420"/>
              <w:jc w:val="left"/>
            </w:pPr>
            <w:r>
              <w:rPr>
                <w:rFonts w:ascii="仿宋_GB2312" w:hAnsi="仿宋_GB2312" w:cs="仿宋_GB2312" w:eastAsia="仿宋_GB2312"/>
                <w:sz w:val="21"/>
                <w:color w:val="000000"/>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right="-195" w:firstLine="420"/>
              <w:jc w:val="left"/>
            </w:pPr>
            <w:r>
              <w:rPr>
                <w:rFonts w:ascii="仿宋_GB2312" w:hAnsi="仿宋_GB2312" w:cs="仿宋_GB2312" w:eastAsia="仿宋_GB2312"/>
                <w:sz w:val="21"/>
                <w:color w:val="000000"/>
              </w:rPr>
              <w:t>3、支持本国产业政策：《财政部关于印发&lt;进口产品管理办法&gt;的通知》（财库〔2007〕119号）；《财政部办公厅关于政府采购进口产品管理有关问题的通知》（财办库〔2008〕248号）。</w:t>
            </w:r>
          </w:p>
          <w:p>
            <w:pPr>
              <w:pStyle w:val="null3"/>
              <w:ind w:right="-195" w:firstLine="420"/>
              <w:jc w:val="left"/>
            </w:pPr>
            <w:r>
              <w:rPr>
                <w:rFonts w:ascii="仿宋_GB2312" w:hAnsi="仿宋_GB2312" w:cs="仿宋_GB2312" w:eastAsia="仿宋_GB2312"/>
                <w:sz w:val="21"/>
                <w:color w:val="000000"/>
              </w:rPr>
              <w:t xml:space="preserve">4、支持创新等政府采购政策。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对本项目所配备人员数量合理、资质符合要求、经验丰富。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二、供应商的磋商报价是供应商响应磋商项目要求的全部工作内容的价格体现，包括供应商完成本项目所需的直接费、间接费、利润、税金及其他相关的一切费用。包括但不限于：人工费、设备费、管理费、体检费、验收费、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资格审查小组说明：1、根据《中华人民共和国政府采购法》第二十三条规定，采购人应依法对供应商的资格进行审查。经采购人授权，资格审查工作可由资格审查小组完成。2、资格审查小组，由经采购人授权的采购人代表和采购代理机构工作人员3人及以上单数组成，采购代理机构项目经理担任资格审查小组组长。3、资格审查小组成立后，全体小组成员应当在签到表中签到。 九、关于采购文件一次报价出现下列情况的，不需要供应商澄清，按以下原则处理：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法定代表人（单位负责人）参加协商的，提供本人身份证复印件；法定代表人（单位负责人）授权他人参加协商的，提供法定代表人（单位负责人）委托授权书及被授权代表的身份证复印件。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参加本次协商前3年内，在经营活动中没有重大违法记录的书面声明。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供应商应具有卫生行政部门核准登记取得的《医疗机构执业许可证》和《放射诊疗许可证》。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商务技术文件.docx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响应文件封面 商务技术文件.docx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体检套餐方案</w:t>
            </w:r>
          </w:p>
        </w:tc>
        <w:tc>
          <w:tcPr>
            <w:tcW w:type="dxa" w:w="2492"/>
          </w:tcPr>
          <w:p>
            <w:pPr>
              <w:pStyle w:val="null3"/>
            </w:pPr>
            <w:r>
              <w:rPr>
                <w:rFonts w:ascii="仿宋_GB2312" w:hAnsi="仿宋_GB2312" w:cs="仿宋_GB2312" w:eastAsia="仿宋_GB2312"/>
              </w:rPr>
              <w:t>一、评审内容 供应商针对本项目不同人群分别设计、制定不同的体检套餐方案，能够结合最新的体检手段，比如AI智能检测等检测手段，做到早筛查早发现早治疗的预防。 共计5份套餐：①40岁以上男②40岁以上女③40岁以下男④40岁以下女⑤未婚女； 二、评审标准 1、完善性：方案必须全面，对评审内容中的各项要求有详细阐述； 2、可实施性：切合本项目实际情况，提出步骤清晰、合理的方案； 3、针对性：方案能够紧扣项目实际情况，内容科学合理。 三、赋分依据（满分30分） ①40岁以上男：：每完全满足一个评审标准得2分，满分6分； ②40岁以上女：每完全满足一个评审标准得2分，满分6分； ③40岁以下男：每完全满足一个评审标准得2分，满分6分； ④40岁以下女：每完全满足一个评审标准得2分，满分6分； ⑤未婚女：每完全满足一个评审标准得2分，满分6分； 未提供或不适用于本项目得0分。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自费体检项目</w:t>
            </w:r>
          </w:p>
        </w:tc>
        <w:tc>
          <w:tcPr>
            <w:tcW w:type="dxa" w:w="2492"/>
          </w:tcPr>
          <w:p>
            <w:pPr>
              <w:pStyle w:val="null3"/>
            </w:pPr>
            <w:r>
              <w:rPr>
                <w:rFonts w:ascii="仿宋_GB2312" w:hAnsi="仿宋_GB2312" w:cs="仿宋_GB2312" w:eastAsia="仿宋_GB2312"/>
              </w:rPr>
              <w:t>针对本项目提供其他可供选择的自费体检项目，并针对所有自费项目明确优惠比例。根据响应程度赋分最高得2分。未提供或不适用于本项目得0分。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体检报告及保密</w:t>
            </w:r>
          </w:p>
        </w:tc>
        <w:tc>
          <w:tcPr>
            <w:tcW w:type="dxa" w:w="2492"/>
          </w:tcPr>
          <w:p>
            <w:pPr>
              <w:pStyle w:val="null3"/>
            </w:pPr>
            <w:r>
              <w:rPr>
                <w:rFonts w:ascii="仿宋_GB2312" w:hAnsi="仿宋_GB2312" w:cs="仿宋_GB2312" w:eastAsia="仿宋_GB2312"/>
              </w:rPr>
              <w:t>一、评审内容 供应商需在规定时间内向采购人提供体检报告，并进行保密，包括但不限于①体检结果分析，治疗建议及健康评估报告；②被检人员的体检结果详细资料及电子文档，并能够保证参检人员所有信息数据不外泄，做好保密工作，有具体的保密措施及承诺。 二、评审标准 1、完善性：方案必须全面，对评审内容中的各项要求有详细阐述； 2、可实施性：切合本项目实际情况，提出步骤清晰、合理的方案； 3、针对性：方案能够紧扣项目实际情况，内容科学合理。 三、赋分依据（满分6分） ①体检结果分析，治疗建议及健康评估报告：每完全满足一个评审标准得1分，满分3分； ②被检人员的体检结果详细资料及电子文档，并能够保证参检人员所有信息数据不外泄，做好保密工作，有具体的保密措施及承诺：每完全满足一个评审标准得1分，满分3分。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专业意见及治疗方案</w:t>
            </w:r>
          </w:p>
        </w:tc>
        <w:tc>
          <w:tcPr>
            <w:tcW w:type="dxa" w:w="2492"/>
          </w:tcPr>
          <w:p>
            <w:pPr>
              <w:pStyle w:val="null3"/>
            </w:pPr>
            <w:r>
              <w:rPr>
                <w:rFonts w:ascii="仿宋_GB2312" w:hAnsi="仿宋_GB2312" w:cs="仿宋_GB2312" w:eastAsia="仿宋_GB2312"/>
              </w:rPr>
              <w:t>供应商可根据体检报告中出现的异常指标出具详细的专业意见及治疗方案，根据响应程度赋分。专业意见及治疗方案具有针对性、可行性得6分； 专业意见及治疗方案针对性、可行性一般得4分； 专业意见及治疗方案针对性、可行性较差得2分；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绿色就医通道</w:t>
            </w:r>
          </w:p>
        </w:tc>
        <w:tc>
          <w:tcPr>
            <w:tcW w:type="dxa" w:w="2492"/>
          </w:tcPr>
          <w:p>
            <w:pPr>
              <w:pStyle w:val="null3"/>
            </w:pPr>
            <w:r>
              <w:rPr>
                <w:rFonts w:ascii="仿宋_GB2312" w:hAnsi="仿宋_GB2312" w:cs="仿宋_GB2312" w:eastAsia="仿宋_GB2312"/>
              </w:rPr>
              <w:t>供应商能够提供后续的绿色就医通道，提供导医导诊等需求，保障讲座及绿色就医服务，根据响应程度赋分最高得3分，未提供或不适用于本项目得0分。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早餐等服务</w:t>
            </w:r>
          </w:p>
        </w:tc>
        <w:tc>
          <w:tcPr>
            <w:tcW w:type="dxa" w:w="2492"/>
          </w:tcPr>
          <w:p>
            <w:pPr>
              <w:pStyle w:val="null3"/>
            </w:pPr>
            <w:r>
              <w:rPr>
                <w:rFonts w:ascii="仿宋_GB2312" w:hAnsi="仿宋_GB2312" w:cs="仿宋_GB2312" w:eastAsia="仿宋_GB2312"/>
              </w:rPr>
              <w:t>为保证服务质量向体检人员提供早餐等本项目外的其他服务。根据响应程度赋分。 服务方案完整，科学、合理、可行性高得5分； 服务方案基本完整，科学、合理、可行性一般得3分； 服务方案不完整，可行性差得1分； 未提供或不适用于本项目得0分。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体检信息化服务</w:t>
            </w:r>
          </w:p>
        </w:tc>
        <w:tc>
          <w:tcPr>
            <w:tcW w:type="dxa" w:w="2492"/>
          </w:tcPr>
          <w:p>
            <w:pPr>
              <w:pStyle w:val="null3"/>
            </w:pPr>
            <w:r>
              <w:rPr>
                <w:rFonts w:ascii="仿宋_GB2312" w:hAnsi="仿宋_GB2312" w:cs="仿宋_GB2312" w:eastAsia="仿宋_GB2312"/>
              </w:rPr>
              <w:t>一、评审内容 供应商需在检前、检中、检后全程提供智能化的体检信息服务，包括但不限于①电子信息录入系统；②智能导检系统、智能叫号系统；③健康档案管理系统；④在线查询体检报告等系统服务。 二、评审标准 1、完善性：方案必须全面，对评审内容中的各项要求有详细阐述； 2、可实施性：切合本项目实际情况，提出步骤清晰、合理的方案；3、针对性：方案能够紧扣项目实际情况，内容科学合理。 三、赋分依据（满分6分） ①电子信息录入系统：每完全满足一个评审标准得0.5分，满分1.5分； ②智能导检系统、智能叫号系统：每完全满足一个评审标准得0.5分，满分1.5分； ③健康档案管理系统：每完全满足一个评审标准得0.5分，满分1.5分；④在线查询体检报告等系统服务：每完全满足一个评审标准得0.5分，满分1.5分。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供应商针对本项目提供详尽的服务质量保证措施。包括但不限于①服务期限内服务质量保证措施；②体检流程安排合理有序，现场指引服务周到；③服务期内未达到服务要求时的应对措施。 二、评审标准 1、完善性：方案必须全面，对评审内容中的各项要求有详细阐述； 2、可实施性：切合本项目实际情况，提出步骤清晰、合理的方案；3、针对性：方案能够紧扣项目实际情况，内容科学合理。 三、赋分依据（满分9分） ①服务期限内服务质量保证措施：每完全满足一个评审标准得1分，满分3分； ②体检流程安排合理有序，现场指引服务周到：每完全满足一个评审标准得1分，满分3分； ③服务期内未达到服务要求时的应对措施：每完全满足一个评审标准得1分，满分3分；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应急处理措施及解决方案。包括但不限于①体检者因血糖、血压引起的身体不适或其他的应对处理；②供应商仪器故障或因其他人力不可抗拒因素，导致未能按时出具检测报告的补救措施等。 二、评审标准 1、完善性：方案必须全面，对评审内容中的各项要求有详细阐述； 2、可实施性：切合本项目实际情况，提出步骤清晰、合理的方案；3、针对性：方案能够紧扣项目实际情况，内容科学合理。 三、赋分依据（满分6分） ①体检者因血糖、血压引起的身体不适或其他的应对处理：每完全满足一个评审标准得1分，满分3分； ②供应商仪器故障或因其他人力不可抗拒因素，导致未能按时出具检测报告的补救措施等：每完全满足一个评审标准得1分，满分3分；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体检场地环境1</w:t>
            </w:r>
          </w:p>
        </w:tc>
        <w:tc>
          <w:tcPr>
            <w:tcW w:type="dxa" w:w="2492"/>
          </w:tcPr>
          <w:p>
            <w:pPr>
              <w:pStyle w:val="null3"/>
            </w:pPr>
            <w:r>
              <w:rPr>
                <w:rFonts w:ascii="仿宋_GB2312" w:hAnsi="仿宋_GB2312" w:cs="仿宋_GB2312" w:eastAsia="仿宋_GB2312"/>
              </w:rPr>
              <w:t>供应商在本地有体检服务点，具备独立的体检场所，根据所在体检中心的具体地址、交通便利情况（公交或地铁换乘方便）、面积、环境，根据响应程度赋分最高得3分，未提供或不适用于本项目得0分。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体检场地环境2</w:t>
            </w:r>
          </w:p>
        </w:tc>
        <w:tc>
          <w:tcPr>
            <w:tcW w:type="dxa" w:w="2492"/>
          </w:tcPr>
          <w:p>
            <w:pPr>
              <w:pStyle w:val="null3"/>
            </w:pPr>
            <w:r>
              <w:rPr>
                <w:rFonts w:ascii="仿宋_GB2312" w:hAnsi="仿宋_GB2312" w:cs="仿宋_GB2312" w:eastAsia="仿宋_GB2312"/>
              </w:rPr>
              <w:t>体检中心设有独立的妇科检查区域，人性化的女性专属通道，查体男女分区，体现贴心服务，根据响应程度赋分最高得3分，未提供或不适用于本项目得0分。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为保障项目质量，供应商需提供在本项目实施过程中所必需的检测仪器、试剂耗材等设备设施清单，并提供相关证明材料。 清单完善、设备设施先进、证明材料齐全得6分。 清单基本完善、设备设施较先进、证明材料较齐全得4分。 清单不完善、设备先进性一般，证明材料不足得2分。 清单不完善、设备先进性差，证明材料不足得1分。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提供专业的服务团队，人员岗位设置专业、合理、充足，提供体检医生组成情况简介(包含在职证明、执业资格证、职称等证明材料)，检查团队中级及以上专业技术职务任职资格的职业医师或技师配备充足。 ①服务团队配置齐全、合理、专业人员配备充足得9分； ②服务团队配置基本齐全、基本合理、专业人员配备基本充足得7分； ③服务团队配置一般、专业人员配备不足得5分； ④服务团队配置差、专业人员配备不足得2分。 未提供或不适用于本项目得0分。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提供2022年1月1日至今（以合同签订日期为准）的健康体检项目业绩（以合同复印件为依据），每提供1个得2分，最高得6分。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