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版本号：JXRC-25061220250701001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曲江校区4、5号学生公寓卫生间、盥洗间维修改造</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JXRC-250612</w:t>
      </w:r>
      <w:r>
        <w:br/>
      </w:r>
      <w:r>
        <w:br/>
      </w:r>
      <w:r>
        <w:br/>
      </w:r>
    </w:p>
    <w:p>
      <w:pPr>
        <w:pStyle w:val="null3"/>
        <w:jc w:val="center"/>
        <w:outlineLvl w:val="2"/>
      </w:pPr>
      <w:r>
        <w:rPr>
          <w:rFonts w:ascii="仿宋_GB2312" w:hAnsi="仿宋_GB2312" w:cs="仿宋_GB2312" w:eastAsia="仿宋_GB2312"/>
          <w:sz w:val="28"/>
          <w:b/>
        </w:rPr>
        <w:t>西安理工大学</w:t>
      </w:r>
    </w:p>
    <w:p>
      <w:pPr>
        <w:pStyle w:val="null3"/>
        <w:jc w:val="center"/>
        <w:outlineLvl w:val="2"/>
      </w:pPr>
      <w:r>
        <w:rPr>
          <w:rFonts w:ascii="仿宋_GB2312" w:hAnsi="仿宋_GB2312" w:cs="仿宋_GB2312" w:eastAsia="仿宋_GB2312"/>
          <w:sz w:val="28"/>
          <w:b/>
        </w:rPr>
        <w:t>陕西嘉信瑞诚招标有限公司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2025年07月01日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陕西嘉信瑞诚招标有限公司</w:t>
      </w:r>
      <w:r>
        <w:rPr>
          <w:rFonts w:ascii="仿宋_GB2312" w:hAnsi="仿宋_GB2312" w:cs="仿宋_GB2312" w:eastAsia="仿宋_GB2312"/>
        </w:rPr>
        <w:t>（以下简称“代理机构”）受</w:t>
      </w:r>
      <w:r>
        <w:rPr>
          <w:rFonts w:ascii="仿宋_GB2312" w:hAnsi="仿宋_GB2312" w:cs="仿宋_GB2312" w:eastAsia="仿宋_GB2312"/>
        </w:rPr>
        <w:t>西安理工大学</w:t>
      </w:r>
      <w:r>
        <w:rPr>
          <w:rFonts w:ascii="仿宋_GB2312" w:hAnsi="仿宋_GB2312" w:cs="仿宋_GB2312" w:eastAsia="仿宋_GB2312"/>
        </w:rPr>
        <w:t>委托，拟对</w:t>
      </w:r>
      <w:r>
        <w:rPr>
          <w:rFonts w:ascii="仿宋_GB2312" w:hAnsi="仿宋_GB2312" w:cs="仿宋_GB2312" w:eastAsia="仿宋_GB2312"/>
        </w:rPr>
        <w:t>曲江校区4、5号学生公寓卫生间、盥洗间维修改造</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JXRC-250612</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曲江校区4、5号学生公寓卫生间、盥洗间维修改造</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本项目为西安理工大学曲江校区4、5号学生公寓卫生间、盥洗间维修改造项目，工程内容包括地面铺砖、大水池贴砖改造，增加蹲位，更换隔断、管道、吊顶、灯具、暖气片、阀门，垃圾外运等。</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采购包1（曲江校区4、5号学生公寓卫生间、盥洗间维修改造）：属于专门面向中小企业采购。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为具有独立承担民事责任能力的法人、其他组织或自然人：企业法人应提供合法有效的标识有统一社会信用代码的营业执照；事业法人应提供事业单位法人证书；其他组织应提供合法登记证明文件；自然人应提供身份证。</w:t>
      </w:r>
    </w:p>
    <w:p>
      <w:pPr>
        <w:pStyle w:val="null3"/>
      </w:pPr>
      <w:r>
        <w:rPr>
          <w:rFonts w:ascii="仿宋_GB2312" w:hAnsi="仿宋_GB2312" w:cs="仿宋_GB2312" w:eastAsia="仿宋_GB2312"/>
        </w:rPr>
        <w:t>2、法定代表人/负责人授权书：法定代表人/负责人直接参加的，须递交《法定代表人/负责人身份证明》；法定代表人/负责人授权代表参加的，须递交《法定代表人/负责人授权书》。</w:t>
      </w:r>
    </w:p>
    <w:p>
      <w:pPr>
        <w:pStyle w:val="null3"/>
      </w:pPr>
      <w:r>
        <w:rPr>
          <w:rFonts w:ascii="仿宋_GB2312" w:hAnsi="仿宋_GB2312" w:cs="仿宋_GB2312" w:eastAsia="仿宋_GB2312"/>
        </w:rPr>
        <w:t>3、财务状况证明：法人提供会计师事务所出具的完整的2023年度或2024年度审计报告（成立时间至提交投标文件截止时间不足一年的可提供成立后任意时段的资产负债表)，或2024年12月1日后其开户银行出具的资信证明，或信用担保机构出具的投标担保函（以上三种形式的资料提供任何一种即可)；其他组织和自然人提供银行出具的资信证明或财务报表。</w:t>
      </w:r>
    </w:p>
    <w:p>
      <w:pPr>
        <w:pStyle w:val="null3"/>
      </w:pPr>
      <w:r>
        <w:rPr>
          <w:rFonts w:ascii="仿宋_GB2312" w:hAnsi="仿宋_GB2312" w:cs="仿宋_GB2312" w:eastAsia="仿宋_GB2312"/>
        </w:rPr>
        <w:t>4、纳税证明：法人提供自2024年12月1日以来至少一个月的纳税证明或完税证明（任意税种），纳税证明或完税证明上应有代收机构或税务机关的公章或业务专用章；其他组织和自然人提供自2024年12月1日以来至少一个月缴纳税收的凭据；依法免税的供应商应提供相关证明文件。</w:t>
      </w:r>
    </w:p>
    <w:p>
      <w:pPr>
        <w:pStyle w:val="null3"/>
      </w:pPr>
      <w:r>
        <w:rPr>
          <w:rFonts w:ascii="仿宋_GB2312" w:hAnsi="仿宋_GB2312" w:cs="仿宋_GB2312" w:eastAsia="仿宋_GB2312"/>
        </w:rPr>
        <w:t>5、社保缴纳证明：提供自2024年12月1日以来至少一个月已缴纳的社会保障资金的证明（社会保障资金缴存单据或社保机构开具的社会保险参保缴费情况证明等)；依法不需要缴纳社会保障资金的供应商应提供相关证明文件。</w:t>
      </w:r>
    </w:p>
    <w:p>
      <w:pPr>
        <w:pStyle w:val="null3"/>
      </w:pPr>
      <w:r>
        <w:rPr>
          <w:rFonts w:ascii="仿宋_GB2312" w:hAnsi="仿宋_GB2312" w:cs="仿宋_GB2312" w:eastAsia="仿宋_GB2312"/>
        </w:rPr>
        <w:t>6、无重大违法记录：参加本次政府采购活动前三年内，在经营活动中没有重大违法记录，提供《无重大违法记录声明》。</w:t>
      </w:r>
    </w:p>
    <w:p>
      <w:pPr>
        <w:pStyle w:val="null3"/>
      </w:pPr>
      <w:r>
        <w:rPr>
          <w:rFonts w:ascii="仿宋_GB2312" w:hAnsi="仿宋_GB2312" w:cs="仿宋_GB2312" w:eastAsia="仿宋_GB2312"/>
        </w:rPr>
        <w:t>7、履约能力证明：提供《具有履行合同所必需的设备和专业技术能力的承诺书》。</w:t>
      </w:r>
    </w:p>
    <w:p>
      <w:pPr>
        <w:pStyle w:val="null3"/>
      </w:pPr>
      <w:r>
        <w:rPr>
          <w:rFonts w:ascii="仿宋_GB2312" w:hAnsi="仿宋_GB2312" w:cs="仿宋_GB2312" w:eastAsia="仿宋_GB2312"/>
        </w:rPr>
        <w:t>8、供应商资质：具备建设行政主管部门核发的建筑工程施工总承包三级及以上（含三级）资质，具有有效的安全生产许可证。</w:t>
      </w:r>
    </w:p>
    <w:p>
      <w:pPr>
        <w:pStyle w:val="null3"/>
      </w:pPr>
      <w:r>
        <w:rPr>
          <w:rFonts w:ascii="仿宋_GB2312" w:hAnsi="仿宋_GB2312" w:cs="仿宋_GB2312" w:eastAsia="仿宋_GB2312"/>
        </w:rPr>
        <w:t>9、拟派项目经理资格：具有建筑工程专业二级及以上注册建造师执业资格，并具有合法有效的安全生产考核合格证（建安B证），须在本单位注册，无不良信用记录，且未担任其他在建工程项目的项目经理。</w:t>
      </w:r>
    </w:p>
    <w:p>
      <w:pPr>
        <w:pStyle w:val="null3"/>
      </w:pPr>
      <w:r>
        <w:rPr>
          <w:rFonts w:ascii="仿宋_GB2312" w:hAnsi="仿宋_GB2312" w:cs="仿宋_GB2312" w:eastAsia="仿宋_GB2312"/>
        </w:rPr>
        <w:t>10、供应商与拟派项目经理登记备案情况：提供《陕西省建筑市场监管与诚信信息发布平台》企业和拟派项目经理查询截图。</w:t>
      </w:r>
    </w:p>
    <w:p>
      <w:pPr>
        <w:pStyle w:val="null3"/>
      </w:pPr>
      <w:r>
        <w:rPr>
          <w:rFonts w:ascii="仿宋_GB2312" w:hAnsi="仿宋_GB2312" w:cs="仿宋_GB2312" w:eastAsia="仿宋_GB2312"/>
        </w:rPr>
        <w:t>11、信用承诺：提供未被“信用中国”网站（www.creditchina.gov.cn）列入失信被执行人或重大税收违法失信主体名单，未被财政部门在中国政府采购网（www.ccgp.gov.cn）政府采购严重违法失信行为记录名单中禁止参加政府采购活动的承诺。</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西安理工大学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西安市金花南路5号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710048</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西安理工大学经办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 xml:space="preserve"> 029-82312371</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陕西嘉信瑞诚招标有限公司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西安市南稍门十字东南角大话南门壹中心18层1806室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曲慧、张海</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 xml:space="preserve"> 029-81541692</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采购包1：836,200.00元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采购包1保证金金额：15,000.00元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开户名称：陕西嘉信瑞诚招标有限公司</w:t>
            </w:r>
          </w:p>
          <w:p>
            <w:pPr>
              <w:pStyle w:val="null3"/>
            </w:pPr>
            <w:r>
              <w:rPr>
                <w:rFonts w:ascii="仿宋_GB2312" w:hAnsi="仿宋_GB2312" w:cs="仿宋_GB2312" w:eastAsia="仿宋_GB2312"/>
              </w:rPr>
              <w:t>开户银行：民生银行西安分行营业部（转账时须附言：250612投标保证金）</w:t>
            </w:r>
          </w:p>
          <w:p>
            <w:pPr>
              <w:pStyle w:val="null3"/>
            </w:pPr>
            <w:r>
              <w:rPr>
                <w:rFonts w:ascii="仿宋_GB2312" w:hAnsi="仿宋_GB2312" w:cs="仿宋_GB2312" w:eastAsia="仿宋_GB2312"/>
              </w:rPr>
              <w:t>银行账号：632043869</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代理服务费收费标准：1、代理服务费参照原中华人民共和国国家计划委员会计价格[2002]1980号文下浮15%计算收取，具体收费额以采购代理机构出具的发票为准。 2、造价咨询费：以磋商文件最终公布的最高限价作为计算基数，50万以下的项目按照定额执行2000元/项，50-80万按照陕价行发（2014）88号文执行。80万以上的项目按照陕价行发（2014）88号文下浮20%执行。</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采购包1：组织现场踏勘：是</w:t>
            </w:r>
          </w:p>
          <w:p>
            <w:pPr>
              <w:pStyle w:val="null3"/>
              <w:ind w:firstLine="975"/>
            </w:pPr>
            <w:r>
              <w:rPr>
                <w:rFonts w:ascii="仿宋_GB2312" w:hAnsi="仿宋_GB2312" w:cs="仿宋_GB2312" w:eastAsia="仿宋_GB2312"/>
              </w:rPr>
              <w:t>踏勘时间：2025-07-10 09:30:00</w:t>
            </w:r>
          </w:p>
          <w:p>
            <w:pPr>
              <w:pStyle w:val="null3"/>
              <w:ind w:firstLine="975"/>
            </w:pPr>
            <w:r>
              <w:rPr>
                <w:rFonts w:ascii="仿宋_GB2312" w:hAnsi="仿宋_GB2312" w:cs="仿宋_GB2312" w:eastAsia="仿宋_GB2312"/>
              </w:rPr>
              <w:t>踏勘地点：西安理工大学曲江校区西校区东门口（新开门北路）集合，踏勘时务必携带授权书，内容注明来校具体办理事宜。</w:t>
            </w:r>
          </w:p>
          <w:p>
            <w:pPr>
              <w:pStyle w:val="null3"/>
              <w:ind w:firstLine="975"/>
            </w:pPr>
            <w:r>
              <w:rPr>
                <w:rFonts w:ascii="仿宋_GB2312" w:hAnsi="仿宋_GB2312" w:cs="仿宋_GB2312" w:eastAsia="仿宋_GB2312"/>
              </w:rPr>
              <w:t>联系人：葛老师</w:t>
            </w:r>
          </w:p>
          <w:p>
            <w:pPr>
              <w:pStyle w:val="null3"/>
              <w:ind w:firstLine="975"/>
            </w:pPr>
            <w:r>
              <w:rPr>
                <w:rFonts w:ascii="仿宋_GB2312" w:hAnsi="仿宋_GB2312" w:cs="仿宋_GB2312" w:eastAsia="仿宋_GB2312"/>
              </w:rPr>
              <w:t>联系电话号码：029-82312752/029-82312903</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西安理工大学</w:t>
      </w:r>
      <w:r>
        <w:rPr>
          <w:rFonts w:ascii="仿宋_GB2312" w:hAnsi="仿宋_GB2312" w:cs="仿宋_GB2312" w:eastAsia="仿宋_GB2312"/>
        </w:rPr>
        <w:t>和</w:t>
      </w:r>
      <w:r>
        <w:rPr>
          <w:rFonts w:ascii="仿宋_GB2312" w:hAnsi="仿宋_GB2312" w:cs="仿宋_GB2312" w:eastAsia="仿宋_GB2312"/>
        </w:rPr>
        <w:t>陕西嘉信瑞诚招标有限公司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西安理工大学</w:t>
      </w:r>
      <w:r>
        <w:rPr>
          <w:rFonts w:ascii="仿宋_GB2312" w:hAnsi="仿宋_GB2312" w:cs="仿宋_GB2312" w:eastAsia="仿宋_GB2312"/>
        </w:rPr>
        <w:t>负责解释。除上述磋商文件内容，其他内容由</w:t>
      </w:r>
      <w:r>
        <w:rPr>
          <w:rFonts w:ascii="仿宋_GB2312" w:hAnsi="仿宋_GB2312" w:cs="仿宋_GB2312" w:eastAsia="仿宋_GB2312"/>
        </w:rPr>
        <w:t>陕西嘉信瑞诚招标有限公司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西安理工大学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陕西嘉信瑞诚招标有限公司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在本单位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符合国家及行业验收合格标准。</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陕西嘉信瑞诚招标有限公司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陕西嘉信瑞诚招标有限公司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陕西嘉信瑞诚招标有限公司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联系人：曲慧、张海</w:t>
      </w:r>
    </w:p>
    <w:p>
      <w:pPr>
        <w:pStyle w:val="null3"/>
      </w:pPr>
      <w:r>
        <w:rPr>
          <w:rFonts w:ascii="仿宋_GB2312" w:hAnsi="仿宋_GB2312" w:cs="仿宋_GB2312" w:eastAsia="仿宋_GB2312"/>
        </w:rPr>
        <w:t>联系电话：029-81541692</w:t>
      </w:r>
    </w:p>
    <w:p>
      <w:pPr>
        <w:pStyle w:val="null3"/>
      </w:pPr>
      <w:r>
        <w:rPr>
          <w:rFonts w:ascii="仿宋_GB2312" w:hAnsi="仿宋_GB2312" w:cs="仿宋_GB2312" w:eastAsia="仿宋_GB2312"/>
        </w:rPr>
        <w:t>地址：西安市南稍门十字东南角大话南门壹中心18层1806室</w:t>
      </w:r>
    </w:p>
    <w:p>
      <w:pPr>
        <w:pStyle w:val="null3"/>
      </w:pPr>
      <w:r>
        <w:rPr>
          <w:rFonts w:ascii="仿宋_GB2312" w:hAnsi="仿宋_GB2312" w:cs="仿宋_GB2312" w:eastAsia="仿宋_GB2312"/>
        </w:rPr>
        <w:t>邮编：710061</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836,200.00</w:t>
      </w:r>
    </w:p>
    <w:p>
      <w:pPr>
        <w:pStyle w:val="null3"/>
      </w:pPr>
      <w:r>
        <w:rPr>
          <w:rFonts w:ascii="仿宋_GB2312" w:hAnsi="仿宋_GB2312" w:cs="仿宋_GB2312" w:eastAsia="仿宋_GB2312"/>
        </w:rPr>
        <w:t>采购包最高限价（元）: 793,472.47</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1项</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836,200.00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标的名称：1项</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80"/>
              <w:jc w:val="left"/>
            </w:pPr>
            <w:r>
              <w:rPr>
                <w:rFonts w:ascii="仿宋_GB2312" w:hAnsi="仿宋_GB2312" w:cs="仿宋_GB2312" w:eastAsia="仿宋_GB2312"/>
                <w:sz w:val="24"/>
              </w:rPr>
              <w:t>投标</w:t>
            </w:r>
            <w:r>
              <w:rPr>
                <w:rFonts w:ascii="仿宋_GB2312" w:hAnsi="仿宋_GB2312" w:cs="仿宋_GB2312" w:eastAsia="仿宋_GB2312"/>
                <w:sz w:val="24"/>
              </w:rPr>
              <w:t>人</w:t>
            </w:r>
            <w:r>
              <w:rPr>
                <w:rFonts w:ascii="仿宋_GB2312" w:hAnsi="仿宋_GB2312" w:cs="仿宋_GB2312" w:eastAsia="仿宋_GB2312"/>
                <w:sz w:val="24"/>
              </w:rPr>
              <w:t>应按招标文件</w:t>
            </w:r>
            <w:r>
              <w:rPr>
                <w:rFonts w:ascii="仿宋_GB2312" w:hAnsi="仿宋_GB2312" w:cs="仿宋_GB2312" w:eastAsia="仿宋_GB2312"/>
                <w:sz w:val="24"/>
              </w:rPr>
              <w:t>中</w:t>
            </w:r>
            <w:r>
              <w:rPr>
                <w:rFonts w:ascii="仿宋_GB2312" w:hAnsi="仿宋_GB2312" w:cs="仿宋_GB2312" w:eastAsia="仿宋_GB2312"/>
                <w:sz w:val="24"/>
              </w:rPr>
              <w:t>施工图纸、技术要求和工程量清单</w:t>
            </w:r>
            <w:r>
              <w:rPr>
                <w:rFonts w:ascii="仿宋_GB2312" w:hAnsi="仿宋_GB2312" w:cs="仿宋_GB2312" w:eastAsia="仿宋_GB2312"/>
                <w:sz w:val="24"/>
              </w:rPr>
              <w:t>的</w:t>
            </w:r>
            <w:r>
              <w:rPr>
                <w:rFonts w:ascii="仿宋_GB2312" w:hAnsi="仿宋_GB2312" w:cs="仿宋_GB2312" w:eastAsia="仿宋_GB2312"/>
                <w:sz w:val="24"/>
              </w:rPr>
              <w:t>要求编制投标文件</w:t>
            </w:r>
            <w:r>
              <w:rPr>
                <w:rFonts w:ascii="仿宋_GB2312" w:hAnsi="仿宋_GB2312" w:cs="仿宋_GB2312" w:eastAsia="仿宋_GB2312"/>
                <w:sz w:val="24"/>
              </w:rPr>
              <w:t>，</w:t>
            </w:r>
            <w:r>
              <w:rPr>
                <w:rFonts w:ascii="仿宋_GB2312" w:hAnsi="仿宋_GB2312" w:cs="仿宋_GB2312" w:eastAsia="仿宋_GB2312"/>
                <w:sz w:val="24"/>
              </w:rPr>
              <w:t>并在投标文件中注明主要材料选用品牌、规格型号等。如投标人在投标文件中未按要求注明材料、设备品牌，则招标人有权按最有利于招标人的方式指定材料、设备品牌</w:t>
            </w:r>
            <w:r>
              <w:rPr>
                <w:rFonts w:ascii="仿宋_GB2312" w:hAnsi="仿宋_GB2312" w:cs="仿宋_GB2312" w:eastAsia="仿宋_GB2312"/>
                <w:sz w:val="24"/>
              </w:rPr>
              <w:t>，主要推荐品牌如下：</w:t>
            </w:r>
          </w:p>
          <w:p>
            <w:pPr>
              <w:pStyle w:val="null3"/>
              <w:ind w:firstLine="480"/>
              <w:jc w:val="left"/>
            </w:pPr>
            <w:r>
              <w:rPr>
                <w:rFonts w:ascii="仿宋_GB2312" w:hAnsi="仿宋_GB2312" w:cs="仿宋_GB2312" w:eastAsia="仿宋_GB2312"/>
                <w:sz w:val="24"/>
              </w:rPr>
              <w:t>乳胶漆：立邦、三棵树、多乐士等同档次级别品牌。</w:t>
            </w:r>
          </w:p>
          <w:p>
            <w:pPr>
              <w:pStyle w:val="null3"/>
              <w:ind w:firstLine="480"/>
              <w:jc w:val="left"/>
            </w:pPr>
            <w:r>
              <w:rPr>
                <w:rFonts w:ascii="仿宋_GB2312" w:hAnsi="仿宋_GB2312" w:cs="仿宋_GB2312" w:eastAsia="仿宋_GB2312"/>
                <w:sz w:val="24"/>
              </w:rPr>
              <w:t>洁具</w:t>
            </w:r>
            <w:r>
              <w:rPr>
                <w:rFonts w:ascii="仿宋_GB2312" w:hAnsi="仿宋_GB2312" w:cs="仿宋_GB2312" w:eastAsia="仿宋_GB2312"/>
                <w:sz w:val="24"/>
              </w:rPr>
              <w:t>：箭牌、恒洁、安华等同档次级别品牌。</w:t>
            </w:r>
          </w:p>
          <w:p>
            <w:pPr>
              <w:pStyle w:val="null3"/>
              <w:ind w:firstLine="480"/>
              <w:jc w:val="left"/>
            </w:pPr>
            <w:r>
              <w:rPr>
                <w:rFonts w:ascii="仿宋_GB2312" w:hAnsi="仿宋_GB2312" w:cs="仿宋_GB2312" w:eastAsia="仿宋_GB2312"/>
                <w:sz w:val="24"/>
              </w:rPr>
              <w:t>灯具：欧普、佛山、三雄极光等同档次级别品牌。</w:t>
            </w:r>
          </w:p>
          <w:p>
            <w:pPr>
              <w:pStyle w:val="null3"/>
              <w:ind w:firstLine="480"/>
              <w:jc w:val="left"/>
            </w:pPr>
            <w:r>
              <w:rPr>
                <w:rFonts w:ascii="仿宋_GB2312" w:hAnsi="仿宋_GB2312" w:cs="仿宋_GB2312" w:eastAsia="仿宋_GB2312"/>
                <w:sz w:val="24"/>
              </w:rPr>
              <w:t>给排水管道：日丰、联塑、川路等同档次级别品牌。</w:t>
            </w:r>
          </w:p>
          <w:p>
            <w:pPr>
              <w:pStyle w:val="null3"/>
              <w:ind w:firstLine="480"/>
            </w:pPr>
            <w:r>
              <w:rPr>
                <w:rFonts w:ascii="仿宋_GB2312" w:hAnsi="仿宋_GB2312" w:cs="仿宋_GB2312" w:eastAsia="仿宋_GB2312"/>
                <w:sz w:val="24"/>
              </w:rPr>
              <w:t>开关插座：欧普、正泰、三雄极光等同档次级别品牌。</w:t>
            </w:r>
          </w:p>
          <w:p>
            <w:pPr>
              <w:pStyle w:val="null3"/>
              <w:jc w:val="both"/>
            </w:pPr>
            <w:r>
              <w:rPr>
                <w:rFonts w:ascii="仿宋_GB2312" w:hAnsi="仿宋_GB2312" w:cs="仿宋_GB2312" w:eastAsia="仿宋_GB2312"/>
                <w:sz w:val="24"/>
              </w:rPr>
              <w:t xml:space="preserve">  墙地砖</w:t>
            </w:r>
            <w:r>
              <w:rPr>
                <w:rFonts w:ascii="仿宋_GB2312" w:hAnsi="仿宋_GB2312" w:cs="仿宋_GB2312" w:eastAsia="仿宋_GB2312"/>
                <w:sz w:val="24"/>
              </w:rPr>
              <w:t>:</w:t>
            </w:r>
            <w:r>
              <w:rPr>
                <w:rFonts w:ascii="仿宋_GB2312" w:hAnsi="仿宋_GB2312" w:cs="仿宋_GB2312" w:eastAsia="仿宋_GB2312"/>
                <w:sz w:val="24"/>
              </w:rPr>
              <w:t>东鹏、萨米特、箭牌等同档次级别品牌</w:t>
            </w:r>
            <w:r>
              <w:rPr>
                <w:rFonts w:ascii="仿宋_GB2312" w:hAnsi="仿宋_GB2312" w:cs="仿宋_GB2312" w:eastAsia="仿宋_GB2312"/>
                <w:sz w:val="24"/>
              </w:rPr>
              <w:t>。</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jc w:val="both"/>
            </w:pPr>
            <w:r>
              <w:rPr>
                <w:rFonts w:ascii="仿宋_GB2312" w:hAnsi="仿宋_GB2312" w:cs="仿宋_GB2312" w:eastAsia="仿宋_GB2312"/>
                <w:sz w:val="24"/>
                <w:color w:val="000000"/>
              </w:rPr>
              <w:t xml:space="preserve">  要求所有建筑材料采用环保型材料，阻燃、无毒、无害、无放射性。施工时，需提供主要施工材料来源渠道合法的证明文件（包括但不限于销售协议、代理协议、原厂授权等）。因施工不善或材料使用不当发生工程事故及人员伤害的，责任和由此而发生的各种费用由施工单位全部承担。</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jc w:val="both"/>
            </w:pPr>
            <w:r>
              <w:rPr>
                <w:rFonts w:ascii="仿宋_GB2312" w:hAnsi="仿宋_GB2312" w:cs="仿宋_GB2312" w:eastAsia="仿宋_GB2312"/>
                <w:sz w:val="24"/>
                <w:color w:val="000000"/>
              </w:rPr>
              <w:t xml:space="preserve">  工程施工应按国家现行标准和相应的行业技术规范执行，这些标准和技术规范应为合同签订日为止最新公布发行的标准和技术规范。包括但不限于《建筑工程施工质量验收统一标准》</w:t>
            </w:r>
            <w:r>
              <w:rPr>
                <w:rFonts w:ascii="仿宋_GB2312" w:hAnsi="仿宋_GB2312" w:cs="仿宋_GB2312" w:eastAsia="仿宋_GB2312"/>
                <w:sz w:val="24"/>
                <w:color w:val="000000"/>
              </w:rPr>
              <w:t>GB 50300-2013。工程质量须符合国家施工验收规范要求，达到合格标准。</w:t>
            </w:r>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jc w:val="both"/>
            </w:pPr>
            <w:r>
              <w:rPr>
                <w:rFonts w:ascii="仿宋_GB2312" w:hAnsi="仿宋_GB2312" w:cs="仿宋_GB2312" w:eastAsia="仿宋_GB2312"/>
                <w:sz w:val="24"/>
              </w:rPr>
              <w:t xml:space="preserve">  施工单位的食宿由施工方自行解决，应遵守国家和建设单位的各项规定，及时至建设单位保卫处办理入校相关手续，施工期间的所有安全问题及由此而发生的各种费用由施工单位全部负责或承担。</w:t>
            </w:r>
          </w:p>
        </w:tc>
      </w:tr>
      <w:tr>
        <w:tc>
          <w:tcPr>
            <w:tcW w:type="dxa" w:w="2769"/>
          </w:tcPr>
          <w:p>
            <w:pPr>
              <w:pStyle w:val="null3"/>
            </w:pPr>
            <w:r>
              <w:rPr>
                <w:rFonts w:ascii="仿宋_GB2312" w:hAnsi="仿宋_GB2312" w:cs="仿宋_GB2312" w:eastAsia="仿宋_GB2312"/>
              </w:rPr>
              <w:t>5</w:t>
            </w:r>
          </w:p>
        </w:tc>
        <w:tc>
          <w:tcPr>
            <w:tcW w:type="dxa" w:w="2769"/>
          </w:tcPr>
          <w:p/>
        </w:tc>
        <w:tc>
          <w:tcPr>
            <w:tcW w:type="dxa" w:w="2769"/>
          </w:tcPr>
          <w:p>
            <w:pPr>
              <w:pStyle w:val="null3"/>
              <w:jc w:val="both"/>
            </w:pPr>
            <w:r>
              <w:rPr>
                <w:rFonts w:ascii="仿宋_GB2312" w:hAnsi="仿宋_GB2312" w:cs="仿宋_GB2312" w:eastAsia="仿宋_GB2312"/>
                <w:sz w:val="24"/>
              </w:rPr>
              <w:t xml:space="preserve">  严格按照原设计图纸进行施工，不得私自变更；如因建设单位要求和现场情况需要变更签证，需严格按照建设单位签证变更管理办法相关程序申报。</w:t>
            </w:r>
          </w:p>
        </w:tc>
      </w:tr>
      <w:tr>
        <w:tc>
          <w:tcPr>
            <w:tcW w:type="dxa" w:w="2769"/>
          </w:tcPr>
          <w:p>
            <w:pPr>
              <w:pStyle w:val="null3"/>
            </w:pPr>
            <w:r>
              <w:rPr>
                <w:rFonts w:ascii="仿宋_GB2312" w:hAnsi="仿宋_GB2312" w:cs="仿宋_GB2312" w:eastAsia="仿宋_GB2312"/>
              </w:rPr>
              <w:t>6</w:t>
            </w:r>
          </w:p>
        </w:tc>
        <w:tc>
          <w:tcPr>
            <w:tcW w:type="dxa" w:w="2769"/>
          </w:tcPr>
          <w:p/>
        </w:tc>
        <w:tc>
          <w:tcPr>
            <w:tcW w:type="dxa" w:w="2769"/>
          </w:tcPr>
          <w:p>
            <w:pPr>
              <w:pStyle w:val="null3"/>
              <w:jc w:val="both"/>
            </w:pPr>
            <w:r>
              <w:rPr>
                <w:rFonts w:ascii="仿宋_GB2312" w:hAnsi="仿宋_GB2312" w:cs="仿宋_GB2312" w:eastAsia="仿宋_GB2312"/>
                <w:sz w:val="24"/>
              </w:rPr>
              <w:t xml:space="preserve">  施工产生的电费和水费由甲方安装电表和水表计量，水费</w:t>
            </w:r>
            <w:r>
              <w:rPr>
                <w:rFonts w:ascii="仿宋_GB2312" w:hAnsi="仿宋_GB2312" w:cs="仿宋_GB2312" w:eastAsia="仿宋_GB2312"/>
                <w:sz w:val="24"/>
              </w:rPr>
              <w:t>5.80</w:t>
            </w:r>
            <w:r>
              <w:rPr>
                <w:rFonts w:ascii="仿宋_GB2312" w:hAnsi="仿宋_GB2312" w:cs="仿宋_GB2312" w:eastAsia="仿宋_GB2312"/>
                <w:sz w:val="24"/>
              </w:rPr>
              <w:t>元</w:t>
            </w:r>
            <w:r>
              <w:rPr>
                <w:rFonts w:ascii="仿宋_GB2312" w:hAnsi="仿宋_GB2312" w:cs="仿宋_GB2312" w:eastAsia="仿宋_GB2312"/>
                <w:sz w:val="24"/>
              </w:rPr>
              <w:t>/</w:t>
            </w:r>
            <w:r>
              <w:rPr>
                <w:rFonts w:ascii="仿宋_GB2312" w:hAnsi="仿宋_GB2312" w:cs="仿宋_GB2312" w:eastAsia="仿宋_GB2312"/>
                <w:sz w:val="24"/>
              </w:rPr>
              <w:t>吨，电费</w:t>
            </w:r>
            <w:r>
              <w:rPr>
                <w:rFonts w:ascii="仿宋_GB2312" w:hAnsi="仿宋_GB2312" w:cs="仿宋_GB2312" w:eastAsia="仿宋_GB2312"/>
                <w:sz w:val="24"/>
              </w:rPr>
              <w:t>0.80</w:t>
            </w:r>
            <w:r>
              <w:rPr>
                <w:rFonts w:ascii="仿宋_GB2312" w:hAnsi="仿宋_GB2312" w:cs="仿宋_GB2312" w:eastAsia="仿宋_GB2312"/>
                <w:sz w:val="24"/>
              </w:rPr>
              <w:t>元</w:t>
            </w:r>
            <w:r>
              <w:rPr>
                <w:rFonts w:ascii="仿宋_GB2312" w:hAnsi="仿宋_GB2312" w:cs="仿宋_GB2312" w:eastAsia="仿宋_GB2312"/>
                <w:sz w:val="24"/>
              </w:rPr>
              <w:t>/</w:t>
            </w:r>
            <w:r>
              <w:rPr>
                <w:rFonts w:ascii="仿宋_GB2312" w:hAnsi="仿宋_GB2312" w:cs="仿宋_GB2312" w:eastAsia="仿宋_GB2312"/>
                <w:sz w:val="24"/>
              </w:rPr>
              <w:t>度，乙方每次申请支付进度款前先向采购人缴纳水电费。</w:t>
            </w:r>
          </w:p>
        </w:tc>
      </w:tr>
      <w:tr>
        <w:tc>
          <w:tcPr>
            <w:tcW w:type="dxa" w:w="2769"/>
          </w:tcPr>
          <w:p>
            <w:pPr>
              <w:pStyle w:val="null3"/>
            </w:pPr>
            <w:r>
              <w:rPr>
                <w:rFonts w:ascii="仿宋_GB2312" w:hAnsi="仿宋_GB2312" w:cs="仿宋_GB2312" w:eastAsia="仿宋_GB2312"/>
              </w:rPr>
              <w:t>7</w:t>
            </w:r>
          </w:p>
        </w:tc>
        <w:tc>
          <w:tcPr>
            <w:tcW w:type="dxa" w:w="2769"/>
          </w:tcPr>
          <w:p/>
        </w:tc>
        <w:tc>
          <w:tcPr>
            <w:tcW w:type="dxa" w:w="2769"/>
          </w:tcPr>
          <w:p>
            <w:pPr>
              <w:pStyle w:val="null3"/>
              <w:jc w:val="both"/>
            </w:pPr>
            <w:r>
              <w:rPr>
                <w:rFonts w:ascii="仿宋_GB2312" w:hAnsi="仿宋_GB2312" w:cs="仿宋_GB2312" w:eastAsia="仿宋_GB2312"/>
                <w:sz w:val="24"/>
              </w:rPr>
              <w:t xml:space="preserve">  施工单位必须按照建设单位要求，严格按照工期要求保质保量完成工程；若延误工期，每日按照合同总额的千分之五处罚（若因天气等不可抗力因素导致延误，需作书面说明）。</w:t>
            </w:r>
          </w:p>
        </w:tc>
      </w:tr>
      <w:tr>
        <w:tc>
          <w:tcPr>
            <w:tcW w:type="dxa" w:w="2769"/>
          </w:tcPr>
          <w:p>
            <w:pPr>
              <w:pStyle w:val="null3"/>
            </w:pPr>
            <w:r>
              <w:rPr>
                <w:rFonts w:ascii="仿宋_GB2312" w:hAnsi="仿宋_GB2312" w:cs="仿宋_GB2312" w:eastAsia="仿宋_GB2312"/>
              </w:rPr>
              <w:t>8</w:t>
            </w:r>
          </w:p>
        </w:tc>
        <w:tc>
          <w:tcPr>
            <w:tcW w:type="dxa" w:w="2769"/>
          </w:tcPr>
          <w:p/>
        </w:tc>
        <w:tc>
          <w:tcPr>
            <w:tcW w:type="dxa" w:w="2769"/>
          </w:tcPr>
          <w:p>
            <w:pPr>
              <w:pStyle w:val="null3"/>
              <w:jc w:val="both"/>
            </w:pPr>
            <w:r>
              <w:rPr>
                <w:rFonts w:ascii="仿宋_GB2312" w:hAnsi="仿宋_GB2312" w:cs="仿宋_GB2312" w:eastAsia="仿宋_GB2312"/>
                <w:sz w:val="24"/>
              </w:rPr>
              <w:t xml:space="preserve">  确定中标单位后，由现场负责人组织工程技术交底会，同时签订合同。中标单位在规定的时间内未签署合同或不遵守招标要求，采购人有权取消其中标资格，并将中标资格授予备选的第二预中标单位。</w:t>
            </w:r>
          </w:p>
        </w:tc>
      </w:tr>
      <w:tr>
        <w:tc>
          <w:tcPr>
            <w:tcW w:type="dxa" w:w="2769"/>
          </w:tcPr>
          <w:p>
            <w:pPr>
              <w:pStyle w:val="null3"/>
            </w:pPr>
            <w:r>
              <w:rPr>
                <w:rFonts w:ascii="仿宋_GB2312" w:hAnsi="仿宋_GB2312" w:cs="仿宋_GB2312" w:eastAsia="仿宋_GB2312"/>
              </w:rPr>
              <w:t>9</w:t>
            </w:r>
          </w:p>
        </w:tc>
        <w:tc>
          <w:tcPr>
            <w:tcW w:type="dxa" w:w="2769"/>
          </w:tcPr>
          <w:p/>
        </w:tc>
        <w:tc>
          <w:tcPr>
            <w:tcW w:type="dxa" w:w="2769"/>
          </w:tcPr>
          <w:p>
            <w:pPr>
              <w:pStyle w:val="null3"/>
              <w:jc w:val="both"/>
            </w:pPr>
            <w:r>
              <w:rPr>
                <w:rFonts w:ascii="仿宋_GB2312" w:hAnsi="仿宋_GB2312" w:cs="仿宋_GB2312" w:eastAsia="仿宋_GB2312"/>
                <w:sz w:val="24"/>
              </w:rPr>
              <w:t xml:space="preserve">  施工前，中标单位应向建设单位后勤处维修管理科提交项目人员安排、进度计划表、安全措施、材料采购计划等（与投标文件一致），如有变动，应做书面说明并经建设单位后勤处维修管理科认可。</w:t>
            </w:r>
          </w:p>
        </w:tc>
      </w:tr>
      <w:tr>
        <w:tc>
          <w:tcPr>
            <w:tcW w:type="dxa" w:w="2769"/>
          </w:tcPr>
          <w:p>
            <w:pPr>
              <w:pStyle w:val="null3"/>
            </w:pPr>
            <w:r>
              <w:rPr>
                <w:rFonts w:ascii="仿宋_GB2312" w:hAnsi="仿宋_GB2312" w:cs="仿宋_GB2312" w:eastAsia="仿宋_GB2312"/>
              </w:rPr>
              <w:t>10</w:t>
            </w:r>
          </w:p>
        </w:tc>
        <w:tc>
          <w:tcPr>
            <w:tcW w:type="dxa" w:w="2769"/>
          </w:tcPr>
          <w:p/>
        </w:tc>
        <w:tc>
          <w:tcPr>
            <w:tcW w:type="dxa" w:w="2769"/>
          </w:tcPr>
          <w:p>
            <w:pPr>
              <w:pStyle w:val="null3"/>
              <w:jc w:val="both"/>
            </w:pPr>
            <w:r>
              <w:rPr>
                <w:rFonts w:ascii="仿宋_GB2312" w:hAnsi="仿宋_GB2312" w:cs="仿宋_GB2312" w:eastAsia="仿宋_GB2312"/>
                <w:sz w:val="24"/>
              </w:rPr>
              <w:t xml:space="preserve">  施工过程中，施工单位必须严格按照招标文件技术要求施工，服从现场负责人安排，尤其对隐蔽工程、主材进场等环节做好记录、验收工作，确保施工质量符合工程施工相关规范。如发现有偷工减料、使用不合格的建筑材料等行为的，应立即停工整改，并责令限期整改，承担由此造成的一切损失。</w:t>
            </w:r>
          </w:p>
        </w:tc>
      </w:tr>
      <w:tr>
        <w:tc>
          <w:tcPr>
            <w:tcW w:type="dxa" w:w="2769"/>
          </w:tcPr>
          <w:p>
            <w:pPr>
              <w:pStyle w:val="null3"/>
            </w:pPr>
            <w:r>
              <w:rPr>
                <w:rFonts w:ascii="仿宋_GB2312" w:hAnsi="仿宋_GB2312" w:cs="仿宋_GB2312" w:eastAsia="仿宋_GB2312"/>
              </w:rPr>
              <w:t>11</w:t>
            </w:r>
          </w:p>
        </w:tc>
        <w:tc>
          <w:tcPr>
            <w:tcW w:type="dxa" w:w="2769"/>
          </w:tcPr>
          <w:p/>
        </w:tc>
        <w:tc>
          <w:tcPr>
            <w:tcW w:type="dxa" w:w="2769"/>
          </w:tcPr>
          <w:p>
            <w:pPr>
              <w:pStyle w:val="null3"/>
              <w:jc w:val="both"/>
            </w:pPr>
            <w:r>
              <w:rPr>
                <w:rFonts w:ascii="仿宋_GB2312" w:hAnsi="仿宋_GB2312" w:cs="仿宋_GB2312" w:eastAsia="仿宋_GB2312"/>
                <w:sz w:val="24"/>
              </w:rPr>
              <w:t xml:space="preserve">  中标单位须严格落实安全协议书相关条款和提交的安全措施，如设置施工安全标志、施工人员佩戴安全防护用品等。</w:t>
            </w:r>
          </w:p>
        </w:tc>
      </w:tr>
      <w:tr>
        <w:tc>
          <w:tcPr>
            <w:tcW w:type="dxa" w:w="2769"/>
          </w:tcPr>
          <w:p>
            <w:pPr>
              <w:pStyle w:val="null3"/>
            </w:pPr>
            <w:r>
              <w:rPr>
                <w:rFonts w:ascii="仿宋_GB2312" w:hAnsi="仿宋_GB2312" w:cs="仿宋_GB2312" w:eastAsia="仿宋_GB2312"/>
              </w:rPr>
              <w:t>12</w:t>
            </w:r>
          </w:p>
        </w:tc>
        <w:tc>
          <w:tcPr>
            <w:tcW w:type="dxa" w:w="2769"/>
          </w:tcPr>
          <w:p/>
        </w:tc>
        <w:tc>
          <w:tcPr>
            <w:tcW w:type="dxa" w:w="2769"/>
          </w:tcPr>
          <w:p>
            <w:pPr>
              <w:pStyle w:val="null3"/>
              <w:jc w:val="both"/>
            </w:pPr>
            <w:r>
              <w:rPr>
                <w:rFonts w:ascii="仿宋_GB2312" w:hAnsi="仿宋_GB2312" w:cs="仿宋_GB2312" w:eastAsia="仿宋_GB2312"/>
                <w:sz w:val="24"/>
              </w:rPr>
              <w:t xml:space="preserve">  施工前要在门口张贴施工告示，明确工期、负责人及联系方式等，工程材料应集中堆放；施工时严格采取措施控制好扬尘、噪音；施工中产生的建筑垃圾应装袋后及时清理。</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符合国家及行业验收合格标准。</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1、工期：35日历天 2、工程质量保修期：两年，如承诺延长的按承诺期限。 3、工程款支付 合同签订、施工方进场后，支付合同价款的40%预付款，工程完工并经学校现场管理人员初验合格后，支付至合同价款的80%；工程竣工验收合格、结算经甲方审定并完成资料归档后，支付剩余全部工程款。 4、本项目图纸和工程量清单如有不一致的情况，以工程量清单为准，并结合现场踏勘情况综合考虑。 5、为顺利推进政府采购电子化交易平台应用工作，供应商需要在线提交所有通过电子化交易平台实施的政府采购项目的磋商响应文件，同时，线下提交磋商响应文件正本壹套、副本贰套（全部纸质资料统一密封在一个密封袋中）。若电子化交易平台文件与纸质磋商响应文件不一致的，以电子化交易平台文件为准。线下递交文件时间与线上磋商截止时间一致；线下递交文件地点：陕西省西安市碑林区南稍门十字东南角大话南门壹中心1806室。</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法人提供会计师事务所出具的完整的2023年度或2024年度审计报告（成立时间至提交投标文件截止时间不足一年的可提供成立后任意时段的资产负债表)，或2024年12月1日后其开户银行出具的资信证明，或信用担保机构出具的投标担保函（以上三种形式的资料提供任何一种即可)；其他组织和自然人提供银行出具的资信证明或财务报表。</w:t>
            </w:r>
          </w:p>
        </w:tc>
        <w:tc>
          <w:tcPr>
            <w:tcW w:type="dxa" w:w="1661"/>
          </w:tcPr>
          <w:p>
            <w:pPr>
              <w:pStyle w:val="null3"/>
            </w:pPr>
            <w:r>
              <w:rPr>
                <w:rFonts w:ascii="仿宋_GB2312" w:hAnsi="仿宋_GB2312" w:cs="仿宋_GB2312" w:eastAsia="仿宋_GB2312"/>
              </w:rPr>
              <w:t>供应商资格</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供应商为具有独立承担民事责任能力的法人、其他组织或自然人</w:t>
            </w:r>
          </w:p>
        </w:tc>
        <w:tc>
          <w:tcPr>
            <w:tcW w:type="dxa" w:w="3322"/>
          </w:tcPr>
          <w:p>
            <w:pPr>
              <w:pStyle w:val="null3"/>
            </w:pPr>
            <w:r>
              <w:rPr>
                <w:rFonts w:ascii="仿宋_GB2312" w:hAnsi="仿宋_GB2312" w:cs="仿宋_GB2312" w:eastAsia="仿宋_GB2312"/>
              </w:rPr>
              <w:t>企业法人应提供合法有效的标识有统一社会信用代码的营业执照；事业法人应提供事业单位法人证书；其他组织应提供合法登记证明文件；自然人应提供身份证。</w:t>
            </w:r>
          </w:p>
        </w:tc>
        <w:tc>
          <w:tcPr>
            <w:tcW w:type="dxa" w:w="1661"/>
          </w:tcPr>
          <w:p>
            <w:pPr>
              <w:pStyle w:val="null3"/>
            </w:pPr>
            <w:r>
              <w:rPr>
                <w:rFonts w:ascii="仿宋_GB2312" w:hAnsi="仿宋_GB2312" w:cs="仿宋_GB2312" w:eastAsia="仿宋_GB2312"/>
              </w:rPr>
              <w:t>供应商资格</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法定代表人/负责人授权书</w:t>
            </w:r>
          </w:p>
        </w:tc>
        <w:tc>
          <w:tcPr>
            <w:tcW w:type="dxa" w:w="3322"/>
          </w:tcPr>
          <w:p>
            <w:pPr>
              <w:pStyle w:val="null3"/>
            </w:pPr>
            <w:r>
              <w:rPr>
                <w:rFonts w:ascii="仿宋_GB2312" w:hAnsi="仿宋_GB2312" w:cs="仿宋_GB2312" w:eastAsia="仿宋_GB2312"/>
              </w:rPr>
              <w:t>法定代表人/负责人直接参加的，须递交《法定代表人/负责人身份证明》；法定代表人/负责人授权代表参加的，须递交《法定代表人/负责人授权书》。</w:t>
            </w:r>
          </w:p>
        </w:tc>
        <w:tc>
          <w:tcPr>
            <w:tcW w:type="dxa" w:w="1661"/>
          </w:tcPr>
          <w:p>
            <w:pPr>
              <w:pStyle w:val="null3"/>
            </w:pPr>
            <w:r>
              <w:rPr>
                <w:rFonts w:ascii="仿宋_GB2312" w:hAnsi="仿宋_GB2312" w:cs="仿宋_GB2312" w:eastAsia="仿宋_GB2312"/>
              </w:rPr>
              <w:t>供应商资格</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财务状况证明</w:t>
            </w:r>
          </w:p>
        </w:tc>
        <w:tc>
          <w:tcPr>
            <w:tcW w:type="dxa" w:w="3322"/>
          </w:tcPr>
          <w:p>
            <w:pPr>
              <w:pStyle w:val="null3"/>
            </w:pPr>
            <w:r>
              <w:rPr>
                <w:rFonts w:ascii="仿宋_GB2312" w:hAnsi="仿宋_GB2312" w:cs="仿宋_GB2312" w:eastAsia="仿宋_GB2312"/>
              </w:rPr>
              <w:t>法人提供会计师事务所出具的完整的2023年度或2024年度审计报告（成立时间至提交投标文件截止时间不足一年的可提供成立后任意时段的资产负债表)，或2024年12月1日后其开户银行出具的资信证明，或信用担保机构出具的投标担保函（以上三种形式的资料提供任何一种即可)；其他组织和自然人提供银行出具的资信证明或财务报表。</w:t>
            </w:r>
          </w:p>
        </w:tc>
        <w:tc>
          <w:tcPr>
            <w:tcW w:type="dxa" w:w="1661"/>
          </w:tcPr>
          <w:p>
            <w:pPr>
              <w:pStyle w:val="null3"/>
            </w:pPr>
            <w:r>
              <w:rPr>
                <w:rFonts w:ascii="仿宋_GB2312" w:hAnsi="仿宋_GB2312" w:cs="仿宋_GB2312" w:eastAsia="仿宋_GB2312"/>
              </w:rPr>
              <w:t>供应商资格</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纳税证明</w:t>
            </w:r>
          </w:p>
        </w:tc>
        <w:tc>
          <w:tcPr>
            <w:tcW w:type="dxa" w:w="3322"/>
          </w:tcPr>
          <w:p>
            <w:pPr>
              <w:pStyle w:val="null3"/>
            </w:pPr>
            <w:r>
              <w:rPr>
                <w:rFonts w:ascii="仿宋_GB2312" w:hAnsi="仿宋_GB2312" w:cs="仿宋_GB2312" w:eastAsia="仿宋_GB2312"/>
              </w:rPr>
              <w:t>法人提供自2024年12月1日以来至少一个月的纳税证明或完税证明（任意税种），纳税证明或完税证明上应有代收机构或税务机关的公章或业务专用章；其他组织和自然人提供自2024年12月1日以来至少一个月缴纳税收的凭据；依法免税的供应商应提供相关证明文件。</w:t>
            </w:r>
          </w:p>
        </w:tc>
        <w:tc>
          <w:tcPr>
            <w:tcW w:type="dxa" w:w="1661"/>
          </w:tcPr>
          <w:p>
            <w:pPr>
              <w:pStyle w:val="null3"/>
            </w:pPr>
            <w:r>
              <w:rPr>
                <w:rFonts w:ascii="仿宋_GB2312" w:hAnsi="仿宋_GB2312" w:cs="仿宋_GB2312" w:eastAsia="仿宋_GB2312"/>
              </w:rPr>
              <w:t>供应商资格</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社保缴纳证明</w:t>
            </w:r>
          </w:p>
        </w:tc>
        <w:tc>
          <w:tcPr>
            <w:tcW w:type="dxa" w:w="3322"/>
          </w:tcPr>
          <w:p>
            <w:pPr>
              <w:pStyle w:val="null3"/>
            </w:pPr>
            <w:r>
              <w:rPr>
                <w:rFonts w:ascii="仿宋_GB2312" w:hAnsi="仿宋_GB2312" w:cs="仿宋_GB2312" w:eastAsia="仿宋_GB2312"/>
              </w:rPr>
              <w:t>提供自2024年12月1日以来至少一个月已缴纳的社会保障资金的证明（社会保障资金缴存单据或社保机构开具的社会保险参保缴费情况证明等)；依法不需要缴纳社会保障资金的供应商应提供相关证明文件。</w:t>
            </w:r>
          </w:p>
        </w:tc>
        <w:tc>
          <w:tcPr>
            <w:tcW w:type="dxa" w:w="1661"/>
          </w:tcPr>
          <w:p>
            <w:pPr>
              <w:pStyle w:val="null3"/>
            </w:pPr>
            <w:r>
              <w:rPr>
                <w:rFonts w:ascii="仿宋_GB2312" w:hAnsi="仿宋_GB2312" w:cs="仿宋_GB2312" w:eastAsia="仿宋_GB2312"/>
              </w:rPr>
              <w:t>供应商资格</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无重大违法记录</w:t>
            </w:r>
          </w:p>
        </w:tc>
        <w:tc>
          <w:tcPr>
            <w:tcW w:type="dxa" w:w="3322"/>
          </w:tcPr>
          <w:p>
            <w:pPr>
              <w:pStyle w:val="null3"/>
            </w:pPr>
            <w:r>
              <w:rPr>
                <w:rFonts w:ascii="仿宋_GB2312" w:hAnsi="仿宋_GB2312" w:cs="仿宋_GB2312" w:eastAsia="仿宋_GB2312"/>
              </w:rPr>
              <w:t>参加本次政府采购活动前三年内，在经营活动中没有重大违法记录，提供《无重大违法记录声明》。</w:t>
            </w:r>
          </w:p>
        </w:tc>
        <w:tc>
          <w:tcPr>
            <w:tcW w:type="dxa" w:w="1661"/>
          </w:tcPr>
          <w:p>
            <w:pPr>
              <w:pStyle w:val="null3"/>
            </w:pPr>
            <w:r>
              <w:rPr>
                <w:rFonts w:ascii="仿宋_GB2312" w:hAnsi="仿宋_GB2312" w:cs="仿宋_GB2312" w:eastAsia="仿宋_GB2312"/>
              </w:rPr>
              <w:t>供应商资格</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履约能力证明</w:t>
            </w:r>
          </w:p>
        </w:tc>
        <w:tc>
          <w:tcPr>
            <w:tcW w:type="dxa" w:w="3322"/>
          </w:tcPr>
          <w:p>
            <w:pPr>
              <w:pStyle w:val="null3"/>
            </w:pPr>
            <w:r>
              <w:rPr>
                <w:rFonts w:ascii="仿宋_GB2312" w:hAnsi="仿宋_GB2312" w:cs="仿宋_GB2312" w:eastAsia="仿宋_GB2312"/>
              </w:rPr>
              <w:t>提供《具有履行合同所必需的设备和专业技术能力的承诺书》。</w:t>
            </w:r>
          </w:p>
        </w:tc>
        <w:tc>
          <w:tcPr>
            <w:tcW w:type="dxa" w:w="1661"/>
          </w:tcPr>
          <w:p>
            <w:pPr>
              <w:pStyle w:val="null3"/>
            </w:pPr>
            <w:r>
              <w:rPr>
                <w:rFonts w:ascii="仿宋_GB2312" w:hAnsi="仿宋_GB2312" w:cs="仿宋_GB2312" w:eastAsia="仿宋_GB2312"/>
              </w:rPr>
              <w:t>供应商资格</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供应商资质</w:t>
            </w:r>
          </w:p>
        </w:tc>
        <w:tc>
          <w:tcPr>
            <w:tcW w:type="dxa" w:w="3322"/>
          </w:tcPr>
          <w:p>
            <w:pPr>
              <w:pStyle w:val="null3"/>
            </w:pPr>
            <w:r>
              <w:rPr>
                <w:rFonts w:ascii="仿宋_GB2312" w:hAnsi="仿宋_GB2312" w:cs="仿宋_GB2312" w:eastAsia="仿宋_GB2312"/>
              </w:rPr>
              <w:t>具备建设行政主管部门核发的建筑工程施工总承包三级及以上（含三级）资质，具有有效的安全生产许可证。</w:t>
            </w:r>
          </w:p>
        </w:tc>
        <w:tc>
          <w:tcPr>
            <w:tcW w:type="dxa" w:w="1661"/>
          </w:tcPr>
          <w:p>
            <w:pPr>
              <w:pStyle w:val="null3"/>
            </w:pPr>
            <w:r>
              <w:rPr>
                <w:rFonts w:ascii="仿宋_GB2312" w:hAnsi="仿宋_GB2312" w:cs="仿宋_GB2312" w:eastAsia="仿宋_GB2312"/>
              </w:rPr>
              <w:t>供应商资格</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拟派项目经理资格</w:t>
            </w:r>
          </w:p>
        </w:tc>
        <w:tc>
          <w:tcPr>
            <w:tcW w:type="dxa" w:w="3322"/>
          </w:tcPr>
          <w:p>
            <w:pPr>
              <w:pStyle w:val="null3"/>
            </w:pPr>
            <w:r>
              <w:rPr>
                <w:rFonts w:ascii="仿宋_GB2312" w:hAnsi="仿宋_GB2312" w:cs="仿宋_GB2312" w:eastAsia="仿宋_GB2312"/>
              </w:rPr>
              <w:t>具有建筑工程专业二级及以上注册建造师执业资格，并具有合法有效的安全生产考核合格证（建安B证），须在本单位注册，无不良信用记录，且未担任其他在建工程项目的项目经理。</w:t>
            </w:r>
          </w:p>
        </w:tc>
        <w:tc>
          <w:tcPr>
            <w:tcW w:type="dxa" w:w="1661"/>
          </w:tcPr>
          <w:p>
            <w:pPr>
              <w:pStyle w:val="null3"/>
            </w:pPr>
            <w:r>
              <w:rPr>
                <w:rFonts w:ascii="仿宋_GB2312" w:hAnsi="仿宋_GB2312" w:cs="仿宋_GB2312" w:eastAsia="仿宋_GB2312"/>
              </w:rPr>
              <w:t>供应商资格</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供应商与拟派项目经理登记备案情况</w:t>
            </w:r>
          </w:p>
        </w:tc>
        <w:tc>
          <w:tcPr>
            <w:tcW w:type="dxa" w:w="3322"/>
          </w:tcPr>
          <w:p>
            <w:pPr>
              <w:pStyle w:val="null3"/>
            </w:pPr>
            <w:r>
              <w:rPr>
                <w:rFonts w:ascii="仿宋_GB2312" w:hAnsi="仿宋_GB2312" w:cs="仿宋_GB2312" w:eastAsia="仿宋_GB2312"/>
              </w:rPr>
              <w:t>提供《陕西省建筑市场监管与诚信信息发布平台》企业和拟派项目经理查询截图。</w:t>
            </w:r>
          </w:p>
        </w:tc>
        <w:tc>
          <w:tcPr>
            <w:tcW w:type="dxa" w:w="1661"/>
          </w:tcPr>
          <w:p>
            <w:pPr>
              <w:pStyle w:val="null3"/>
            </w:pPr>
            <w:r>
              <w:rPr>
                <w:rFonts w:ascii="仿宋_GB2312" w:hAnsi="仿宋_GB2312" w:cs="仿宋_GB2312" w:eastAsia="仿宋_GB2312"/>
              </w:rPr>
              <w:t>供应商资格</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信用承诺</w:t>
            </w:r>
          </w:p>
        </w:tc>
        <w:tc>
          <w:tcPr>
            <w:tcW w:type="dxa" w:w="3322"/>
          </w:tcPr>
          <w:p>
            <w:pPr>
              <w:pStyle w:val="null3"/>
            </w:pPr>
            <w:r>
              <w:rPr>
                <w:rFonts w:ascii="仿宋_GB2312" w:hAnsi="仿宋_GB2312" w:cs="仿宋_GB2312" w:eastAsia="仿宋_GB2312"/>
              </w:rPr>
              <w:t>提供未被“信用中国”网站（www.creditchina.gov.cn）列入失信被执行人或重大税收违法失信主体名单，未被财政部门在中国政府采购网（www.ccgp.gov.cn）政府采购严重违法失信行为记录名单中禁止参加政府采购活动的承诺。</w:t>
            </w:r>
          </w:p>
        </w:tc>
        <w:tc>
          <w:tcPr>
            <w:tcW w:type="dxa" w:w="1661"/>
          </w:tcPr>
          <w:p>
            <w:pPr>
              <w:pStyle w:val="null3"/>
            </w:pPr>
            <w:r>
              <w:rPr>
                <w:rFonts w:ascii="仿宋_GB2312" w:hAnsi="仿宋_GB2312" w:cs="仿宋_GB2312" w:eastAsia="仿宋_GB2312"/>
              </w:rPr>
              <w:t>供应商资格</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签章符合招标文件要求</w:t>
            </w:r>
          </w:p>
        </w:tc>
        <w:tc>
          <w:tcPr>
            <w:tcW w:type="dxa" w:w="3322"/>
          </w:tcPr>
          <w:p>
            <w:pPr>
              <w:pStyle w:val="null3"/>
            </w:pPr>
            <w:r>
              <w:rPr>
                <w:rFonts w:ascii="仿宋_GB2312" w:hAnsi="仿宋_GB2312" w:cs="仿宋_GB2312" w:eastAsia="仿宋_GB2312"/>
              </w:rPr>
              <w:t>供应商应当加盖供应商（法定名称）电子印章</w:t>
            </w:r>
          </w:p>
        </w:tc>
        <w:tc>
          <w:tcPr>
            <w:tcW w:type="dxa" w:w="1661"/>
          </w:tcPr>
          <w:p>
            <w:pPr>
              <w:pStyle w:val="null3"/>
            </w:pPr>
            <w:r>
              <w:rPr>
                <w:rFonts w:ascii="仿宋_GB2312" w:hAnsi="仿宋_GB2312" w:cs="仿宋_GB2312" w:eastAsia="仿宋_GB2312"/>
              </w:rPr>
              <w:t>商务响应偏离表 已标价工程量清单 技术响应偏离表 中小企业声明函 业绩 磋商保证金缴纳凭证 响应文件封面 其他材料 残疾人福利性单位声明函 报价函 标的清单 供应商承诺书 供应商基本信息及企业关联关系声明函 响应函 供应商资格 监狱企业的证明文件 磋商方案</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磋商保证金</w:t>
            </w:r>
          </w:p>
        </w:tc>
        <w:tc>
          <w:tcPr>
            <w:tcW w:type="dxa" w:w="3322"/>
          </w:tcPr>
          <w:p>
            <w:pPr>
              <w:pStyle w:val="null3"/>
            </w:pPr>
            <w:r>
              <w:rPr>
                <w:rFonts w:ascii="仿宋_GB2312" w:hAnsi="仿宋_GB2312" w:cs="仿宋_GB2312" w:eastAsia="仿宋_GB2312"/>
              </w:rPr>
              <w:t>磋商保证金符合第二章供应商须知要求</w:t>
            </w:r>
          </w:p>
        </w:tc>
        <w:tc>
          <w:tcPr>
            <w:tcW w:type="dxa" w:w="1661"/>
          </w:tcPr>
          <w:p>
            <w:pPr>
              <w:pStyle w:val="null3"/>
            </w:pPr>
            <w:r>
              <w:rPr>
                <w:rFonts w:ascii="仿宋_GB2312" w:hAnsi="仿宋_GB2312" w:cs="仿宋_GB2312" w:eastAsia="仿宋_GB2312"/>
              </w:rPr>
              <w:t>磋商保证金缴纳凭证</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最高限价</w:t>
            </w:r>
          </w:p>
        </w:tc>
        <w:tc>
          <w:tcPr>
            <w:tcW w:type="dxa" w:w="3322"/>
          </w:tcPr>
          <w:p>
            <w:pPr>
              <w:pStyle w:val="null3"/>
            </w:pPr>
            <w:r>
              <w:rPr>
                <w:rFonts w:ascii="仿宋_GB2312" w:hAnsi="仿宋_GB2312" w:cs="仿宋_GB2312" w:eastAsia="仿宋_GB2312"/>
              </w:rPr>
              <w:t>投标报价不得超过本项目最高限价</w:t>
            </w:r>
          </w:p>
        </w:tc>
        <w:tc>
          <w:tcPr>
            <w:tcW w:type="dxa" w:w="1661"/>
          </w:tcPr>
          <w:p>
            <w:pPr>
              <w:pStyle w:val="null3"/>
            </w:pPr>
            <w:r>
              <w:rPr>
                <w:rFonts w:ascii="仿宋_GB2312" w:hAnsi="仿宋_GB2312" w:cs="仿宋_GB2312" w:eastAsia="仿宋_GB2312"/>
              </w:rPr>
              <w:t>已标价工程量清单</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施工方案</w:t>
            </w:r>
          </w:p>
        </w:tc>
        <w:tc>
          <w:tcPr>
            <w:tcW w:type="dxa" w:w="2492"/>
          </w:tcPr>
          <w:p>
            <w:pPr>
              <w:pStyle w:val="null3"/>
            </w:pPr>
            <w:r>
              <w:rPr>
                <w:rFonts w:ascii="仿宋_GB2312" w:hAnsi="仿宋_GB2312" w:cs="仿宋_GB2312" w:eastAsia="仿宋_GB2312"/>
              </w:rPr>
              <w:t>1.完整性（4分）： 方案需涵盖施工部署、进度计划、技术难点、应对措施等关键内容，每缺一项扣1分，每项有缺陷扣0.5分，扣完为止。 2.可实施性（4分）： 需附施工流程图或工艺标准文件，工艺流程需合理、清晰，无图示扣2分，工艺流程有缺陷扣2分。 3.针对性（4分）： 需包含项目所在地气候、地质条件等专项应对措施，紧扣项目实际情况，针对性内容有缺陷扣2分。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w:t>
            </w:r>
          </w:p>
        </w:tc>
      </w:tr>
      <w:tr>
        <w:tc>
          <w:tcPr>
            <w:tcW w:type="dxa" w:w="831"/>
            <w:vMerge/>
          </w:tcPr>
          <w:p/>
        </w:tc>
        <w:tc>
          <w:tcPr>
            <w:tcW w:type="dxa" w:w="1661"/>
          </w:tcPr>
          <w:p>
            <w:pPr>
              <w:pStyle w:val="null3"/>
            </w:pPr>
            <w:r>
              <w:rPr>
                <w:rFonts w:ascii="仿宋_GB2312" w:hAnsi="仿宋_GB2312" w:cs="仿宋_GB2312" w:eastAsia="仿宋_GB2312"/>
              </w:rPr>
              <w:t>确保工程质量的技术组织措施</w:t>
            </w:r>
          </w:p>
        </w:tc>
        <w:tc>
          <w:tcPr>
            <w:tcW w:type="dxa" w:w="2492"/>
          </w:tcPr>
          <w:p>
            <w:pPr>
              <w:pStyle w:val="null3"/>
            </w:pPr>
            <w:r>
              <w:rPr>
                <w:rFonts w:ascii="仿宋_GB2312" w:hAnsi="仿宋_GB2312" w:cs="仿宋_GB2312" w:eastAsia="仿宋_GB2312"/>
              </w:rPr>
              <w:t>1.质量目标明确性（2分）：目标明确且措施可实施得2分；目标较明确、措施基本可行得1分；模糊或有较大缺陷得0分。 2.质量管理体系完善度（4分）：体系需包含质量责任、人员培训、资源配置、质量检查、应急处理等环节，每缺一项扣1分，每项有缺陷扣0.5分，扣完为止。 3.质量管理措施科学性（4分）： 需提供过往项目质量验收报告或第三方检测证明。每提供一份质量验收报告或第三方检测证明得1分，最多得4分。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w:t>
            </w:r>
          </w:p>
        </w:tc>
      </w:tr>
      <w:tr>
        <w:tc>
          <w:tcPr>
            <w:tcW w:type="dxa" w:w="831"/>
            <w:vMerge/>
          </w:tcPr>
          <w:p/>
        </w:tc>
        <w:tc>
          <w:tcPr>
            <w:tcW w:type="dxa" w:w="1661"/>
          </w:tcPr>
          <w:p>
            <w:pPr>
              <w:pStyle w:val="null3"/>
            </w:pPr>
            <w:r>
              <w:rPr>
                <w:rFonts w:ascii="仿宋_GB2312" w:hAnsi="仿宋_GB2312" w:cs="仿宋_GB2312" w:eastAsia="仿宋_GB2312"/>
              </w:rPr>
              <w:t>确保安全文明施工的技术组织措施</w:t>
            </w:r>
          </w:p>
        </w:tc>
        <w:tc>
          <w:tcPr>
            <w:tcW w:type="dxa" w:w="2492"/>
          </w:tcPr>
          <w:p>
            <w:pPr>
              <w:pStyle w:val="null3"/>
            </w:pPr>
            <w:r>
              <w:rPr>
                <w:rFonts w:ascii="仿宋_GB2312" w:hAnsi="仿宋_GB2312" w:cs="仿宋_GB2312" w:eastAsia="仿宋_GB2312"/>
              </w:rPr>
              <w:t>1.安全目标明确性（2分）：明确安全事故发生率控制目标得2分，无明确目标得0分。 2.安全体系健全度（3分）：体系包含安全管理制度、人员培训、应急演练、特种作业人员持证上岗管理，每缺一项扣1分，每项有缺陷扣0.5分，扣完为止。 3.应急预案可行性（2分）：涵盖常见安全事故场景且措施合理得2分；涵盖部分场景且基本合理得1分；场景少且不合理得0分。 4.文明施工措施具体性（3分）：措施包含场地整洁、噪音控制、扬尘治理（需附扬尘监测设备布置图），每缺一项扣1分，无图示扣1分，每项有缺陷扣0.5分，扣完为止。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w:t>
            </w:r>
          </w:p>
        </w:tc>
      </w:tr>
      <w:tr>
        <w:tc>
          <w:tcPr>
            <w:tcW w:type="dxa" w:w="831"/>
            <w:vMerge/>
          </w:tcPr>
          <w:p/>
        </w:tc>
        <w:tc>
          <w:tcPr>
            <w:tcW w:type="dxa" w:w="1661"/>
          </w:tcPr>
          <w:p>
            <w:pPr>
              <w:pStyle w:val="null3"/>
            </w:pPr>
            <w:r>
              <w:rPr>
                <w:rFonts w:ascii="仿宋_GB2312" w:hAnsi="仿宋_GB2312" w:cs="仿宋_GB2312" w:eastAsia="仿宋_GB2312"/>
              </w:rPr>
              <w:t>确保工期的技术组织措施</w:t>
            </w:r>
          </w:p>
        </w:tc>
        <w:tc>
          <w:tcPr>
            <w:tcW w:type="dxa" w:w="2492"/>
          </w:tcPr>
          <w:p>
            <w:pPr>
              <w:pStyle w:val="null3"/>
            </w:pPr>
            <w:r>
              <w:rPr>
                <w:rFonts w:ascii="仿宋_GB2312" w:hAnsi="仿宋_GB2312" w:cs="仿宋_GB2312" w:eastAsia="仿宋_GB2312"/>
              </w:rPr>
              <w:t>1.节点工期分析合理性（4分）：对关键节点工期有详细分析且分析合理得4分；分析简单且较合理得2分；无分析得0分。 2.延误工期补救措施有效性（4分）：依据类似工程经验或专业评估，措施有效得4分；部分有效得2分；基本无效得0分。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w:t>
            </w:r>
          </w:p>
        </w:tc>
      </w:tr>
      <w:tr>
        <w:tc>
          <w:tcPr>
            <w:tcW w:type="dxa" w:w="831"/>
            <w:vMerge/>
          </w:tcPr>
          <w:p/>
        </w:tc>
        <w:tc>
          <w:tcPr>
            <w:tcW w:type="dxa" w:w="1661"/>
          </w:tcPr>
          <w:p>
            <w:pPr>
              <w:pStyle w:val="null3"/>
            </w:pPr>
            <w:r>
              <w:rPr>
                <w:rFonts w:ascii="仿宋_GB2312" w:hAnsi="仿宋_GB2312" w:cs="仿宋_GB2312" w:eastAsia="仿宋_GB2312"/>
              </w:rPr>
              <w:t>施工机械配备和材料投入计划</w:t>
            </w:r>
          </w:p>
        </w:tc>
        <w:tc>
          <w:tcPr>
            <w:tcW w:type="dxa" w:w="2492"/>
          </w:tcPr>
          <w:p>
            <w:pPr>
              <w:pStyle w:val="null3"/>
            </w:pPr>
            <w:r>
              <w:rPr>
                <w:rFonts w:ascii="仿宋_GB2312" w:hAnsi="仿宋_GB2312" w:cs="仿宋_GB2312" w:eastAsia="仿宋_GB2312"/>
              </w:rPr>
              <w:t>1.施工机械配备合理性（4分）： ①机械安排合理，保证工期；②配置完备，符合施工要求。每缺一项扣2分，每项有缺陷扣1分，扣完为止。 2.材料投入计划（4分）： ①主要材料信息（名称、规格、数量等）详细准确，无遗漏；②与工程进度匹配，进场时间合理。每缺一项扣2分，每项有缺陷扣1分，扣完为止。 3.材料环保性（3分）：材料环保性应符合国标要求，提供主要材料（如涂料、板材）的检测报告，每提供一份得1分，最多得3分，未提供或不合格不得分。</w:t>
            </w:r>
          </w:p>
        </w:tc>
        <w:tc>
          <w:tcPr>
            <w:tcW w:type="dxa" w:w="831"/>
          </w:tcPr>
          <w:p>
            <w:pPr>
              <w:pStyle w:val="null3"/>
              <w:jc w:val="right"/>
            </w:pPr>
            <w:r>
              <w:rPr>
                <w:rFonts w:ascii="仿宋_GB2312" w:hAnsi="仿宋_GB2312" w:cs="仿宋_GB2312" w:eastAsia="仿宋_GB2312"/>
              </w:rPr>
              <w:t>11.0000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w:t>
            </w:r>
          </w:p>
        </w:tc>
      </w:tr>
      <w:tr>
        <w:tc>
          <w:tcPr>
            <w:tcW w:type="dxa" w:w="831"/>
            <w:vMerge/>
          </w:tcPr>
          <w:p/>
        </w:tc>
        <w:tc>
          <w:tcPr>
            <w:tcW w:type="dxa" w:w="1661"/>
          </w:tcPr>
          <w:p>
            <w:pPr>
              <w:pStyle w:val="null3"/>
            </w:pPr>
            <w:r>
              <w:rPr>
                <w:rFonts w:ascii="仿宋_GB2312" w:hAnsi="仿宋_GB2312" w:cs="仿宋_GB2312" w:eastAsia="仿宋_GB2312"/>
              </w:rPr>
              <w:t>项目组织管理机构及人员配备情况</w:t>
            </w:r>
          </w:p>
        </w:tc>
        <w:tc>
          <w:tcPr>
            <w:tcW w:type="dxa" w:w="2492"/>
          </w:tcPr>
          <w:p>
            <w:pPr>
              <w:pStyle w:val="null3"/>
            </w:pPr>
            <w:r>
              <w:rPr>
                <w:rFonts w:ascii="仿宋_GB2312" w:hAnsi="仿宋_GB2312" w:cs="仿宋_GB2312" w:eastAsia="仿宋_GB2312"/>
              </w:rPr>
              <w:t>1.项目组织管理机构（2分）：机构设置合理，专业队伍齐全得2分；较合理、齐全得1分；未提供得0分。 2.项目经理（2分）： 具备同类项目经验（附合同中项目经理署名页）得1分，具备高级工程师职称得1分（需提供职称证书、执业证书等）。 3.项目人员配备（5分）： 需配备技术负责人、专职安全员（需C证）、质检员（需质量员证书）等岗位，人员齐全且资质符合要求得5分；较合理得3分；基本满足得1分；未提供或资质不全得0分（需提供岗位证书、劳动合同等）。</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w:t>
            </w:r>
          </w:p>
        </w:tc>
      </w:tr>
      <w:tr>
        <w:tc>
          <w:tcPr>
            <w:tcW w:type="dxa" w:w="831"/>
            <w:vMerge/>
          </w:tcPr>
          <w:p/>
        </w:tc>
        <w:tc>
          <w:tcPr>
            <w:tcW w:type="dxa" w:w="1661"/>
          </w:tcPr>
          <w:p>
            <w:pPr>
              <w:pStyle w:val="null3"/>
            </w:pPr>
            <w:r>
              <w:rPr>
                <w:rFonts w:ascii="仿宋_GB2312" w:hAnsi="仿宋_GB2312" w:cs="仿宋_GB2312" w:eastAsia="仿宋_GB2312"/>
              </w:rPr>
              <w:t>保修期内服务措施及保修承诺</w:t>
            </w:r>
          </w:p>
        </w:tc>
        <w:tc>
          <w:tcPr>
            <w:tcW w:type="dxa" w:w="2492"/>
          </w:tcPr>
          <w:p>
            <w:pPr>
              <w:pStyle w:val="null3"/>
            </w:pPr>
            <w:r>
              <w:rPr>
                <w:rFonts w:ascii="仿宋_GB2312" w:hAnsi="仿宋_GB2312" w:cs="仿宋_GB2312" w:eastAsia="仿宋_GB2312"/>
              </w:rPr>
              <w:t>1. 保修期内服务措施（3分）：提供保修服务工作方案、回访计划及质量保修措施、保修团队人员名单及联系方式，每缺一项扣1分，每项有缺陷扣0.5分，扣完为止。 2. 保修承诺（2分）：质保期每延长半年得1分，最高2分；未延长此项不得分。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2022年7月1日起至今，供应商承担的类似项目业绩（合同需含项目金额、工期、质量标准、签署时间等关键页），每提供1份有效业绩得1分，最多得5分。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采用最低价优先法，即实质性满足磋商文件要求且最终磋商报价最低的为磋商基准价，其价格分为满分30分。其他供应商的价格分按照下列公式计算：磋商报价得分=(磋商基准价/磋商报价)×30。计算结果最多保留两位小数。</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详见附件：供应商基本信息及企业关联关系声明函</w:t>
      </w:r>
    </w:p>
    <w:p>
      <w:pPr>
        <w:pStyle w:val="null3"/>
        <w:ind w:firstLine="960"/>
      </w:pPr>
      <w:r>
        <w:rPr>
          <w:rFonts w:ascii="仿宋_GB2312" w:hAnsi="仿宋_GB2312" w:cs="仿宋_GB2312" w:eastAsia="仿宋_GB2312"/>
        </w:rPr>
        <w:t>详见附件：磋商方案</w:t>
      </w:r>
    </w:p>
    <w:p>
      <w:pPr>
        <w:pStyle w:val="null3"/>
        <w:ind w:firstLine="960"/>
      </w:pPr>
      <w:r>
        <w:rPr>
          <w:rFonts w:ascii="仿宋_GB2312" w:hAnsi="仿宋_GB2312" w:cs="仿宋_GB2312" w:eastAsia="仿宋_GB2312"/>
        </w:rPr>
        <w:t>详见附件：供应商承诺书</w:t>
      </w:r>
    </w:p>
    <w:p>
      <w:pPr>
        <w:pStyle w:val="null3"/>
        <w:ind w:firstLine="960"/>
      </w:pPr>
      <w:r>
        <w:rPr>
          <w:rFonts w:ascii="仿宋_GB2312" w:hAnsi="仿宋_GB2312" w:cs="仿宋_GB2312" w:eastAsia="仿宋_GB2312"/>
        </w:rPr>
        <w:t>详见附件：技术响应偏离表</w:t>
      </w:r>
    </w:p>
    <w:p>
      <w:pPr>
        <w:pStyle w:val="null3"/>
        <w:ind w:firstLine="960"/>
      </w:pPr>
      <w:r>
        <w:rPr>
          <w:rFonts w:ascii="仿宋_GB2312" w:hAnsi="仿宋_GB2312" w:cs="仿宋_GB2312" w:eastAsia="仿宋_GB2312"/>
        </w:rPr>
        <w:t>详见附件：商务响应偏离表</w:t>
      </w:r>
    </w:p>
    <w:p>
      <w:pPr>
        <w:pStyle w:val="null3"/>
        <w:ind w:firstLine="960"/>
      </w:pPr>
      <w:r>
        <w:rPr>
          <w:rFonts w:ascii="仿宋_GB2312" w:hAnsi="仿宋_GB2312" w:cs="仿宋_GB2312" w:eastAsia="仿宋_GB2312"/>
        </w:rPr>
        <w:t>详见附件：供应商资格</w:t>
      </w:r>
    </w:p>
    <w:p>
      <w:pPr>
        <w:pStyle w:val="null3"/>
        <w:ind w:firstLine="960"/>
      </w:pPr>
      <w:r>
        <w:rPr>
          <w:rFonts w:ascii="仿宋_GB2312" w:hAnsi="仿宋_GB2312" w:cs="仿宋_GB2312" w:eastAsia="仿宋_GB2312"/>
        </w:rPr>
        <w:t>详见附件：磋商保证金缴纳凭证</w:t>
      </w:r>
    </w:p>
    <w:p>
      <w:pPr>
        <w:pStyle w:val="null3"/>
        <w:ind w:firstLine="960"/>
      </w:pPr>
      <w:r>
        <w:rPr>
          <w:rFonts w:ascii="仿宋_GB2312" w:hAnsi="仿宋_GB2312" w:cs="仿宋_GB2312" w:eastAsia="仿宋_GB2312"/>
        </w:rPr>
        <w:t>详见附件：业绩</w:t>
      </w:r>
    </w:p>
    <w:p>
      <w:pPr>
        <w:pStyle w:val="null3"/>
        <w:ind w:firstLine="960"/>
      </w:pPr>
      <w:r>
        <w:rPr>
          <w:rFonts w:ascii="仿宋_GB2312" w:hAnsi="仿宋_GB2312" w:cs="仿宋_GB2312" w:eastAsia="仿宋_GB2312"/>
        </w:rPr>
        <w:t>详见附件：其他材料</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