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版本号：ZXLS-ZC-2025-033-0220250604001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陕西省交通运输科技交流活动(二次)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ZXLS-ZC-2025-033-02</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陕西中欣联盛工程项目管理有限公司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陕西中欣联盛工程项目管理有限公司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陕西省交通运输科技交流活动(二次)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ZXLS-ZC-2025-033-02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陕西省交通运输科技交流活动(二次)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陕西省科技活动周以及省厅、省局关于行业科技工作的安排，结合公路行业实际工作，开展2025年陕西交通运输行业及公路行业科技交流活动，组织全省市、县交通局、公路局及公路行业单位相关科技工作者积极参与公路科技服务地方交通，振兴乡村建设科技活动，广泛展示宣传行业“四新”技术应用、信息化技术应用等科技成果，进一步激发公路人的科学精神，增强讲科学、爱科学、学科学、用科学的良好氛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2、授权委托书：法定代表人参加投标的，提供本人身份证复印件并出示身份证；法定代表人授权他人参加投标的，提供法定代表人授权委托书并出示被授权代表的身份证；</w:t>
      </w:r>
    </w:p>
    <w:p>
      <w:pPr>
        <w:pStyle w:val="null3"/>
      </w:pPr>
      <w:r>
        <w:rPr>
          <w:rFonts w:ascii="仿宋_GB2312" w:hAnsi="仿宋_GB2312" w:cs="仿宋_GB2312" w:eastAsia="仿宋_GB2312"/>
        </w:rPr>
        <w:t>3、财务状况报告：提供具有财务审计资质单位出具的2023年度或者2024年度财务审计报告或开标前六个月内其基本账户银行出具的资信证明或政府采购信用担保机构出具的投标担保函；</w:t>
      </w:r>
    </w:p>
    <w:p>
      <w:pPr>
        <w:pStyle w:val="null3"/>
      </w:pPr>
      <w:r>
        <w:rPr>
          <w:rFonts w:ascii="仿宋_GB2312" w:hAnsi="仿宋_GB2312" w:cs="仿宋_GB2312" w:eastAsia="仿宋_GB2312"/>
        </w:rPr>
        <w:t>4、税收缴纳证明：提供供应商自投标以来近年（2024年4月至今）任意一个月完税凭证或税务机关开具的完税证明（任意税种）；依法免税的应提供相关文件证明；</w:t>
      </w:r>
    </w:p>
    <w:p>
      <w:pPr>
        <w:pStyle w:val="null3"/>
      </w:pPr>
      <w:r>
        <w:rPr>
          <w:rFonts w:ascii="仿宋_GB2312" w:hAnsi="仿宋_GB2312" w:cs="仿宋_GB2312" w:eastAsia="仿宋_GB2312"/>
        </w:rPr>
        <w:t>5、社会保障资金缴纳证明：提供供应商自投标以来近年（2024年4月至今）任意一个月的社会保障资金缴存单据或社保机构开具的社会保险参保缴费情况证明；依法不需要缴纳社会保障资金的应提供相关文件证明；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6、声明书：参加政府采购活动近3年内，在经营活动中没有重大违法记录的书面声明；</w:t>
      </w:r>
    </w:p>
    <w:p>
      <w:pPr>
        <w:pStyle w:val="null3"/>
      </w:pPr>
      <w:r>
        <w:rPr>
          <w:rFonts w:ascii="仿宋_GB2312" w:hAnsi="仿宋_GB2312" w:cs="仿宋_GB2312" w:eastAsia="仿宋_GB2312"/>
        </w:rPr>
        <w:t>7、信用信息：供应商不得被“信用中国”网站（www.creditchina.gov.cn）和中国政府采购网站（www.ccgp.gov.cn）列入失信被执行人、重大税收违法案件当事人名单、政府采购严重违法失信行为记录名单。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陕西中欣联盛工程项目管理有限公司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陕西省西安市莲湖区陕西省西安市莲湖区高新三路财富中心二期C座1112室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15309166370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开户名称：陕西中欣联盛工程项目管理有限公司</w:t>
            </w:r>
          </w:p>
          <w:p>
            <w:pPr>
              <w:pStyle w:val="null3"/>
            </w:pPr>
            <w:r>
              <w:rPr>
                <w:rFonts w:ascii="仿宋_GB2312" w:hAnsi="仿宋_GB2312" w:cs="仿宋_GB2312" w:eastAsia="仿宋_GB2312"/>
              </w:rPr>
              <w:t>开户银行：中国建设银行股份有限公司西安高新四路支行</w:t>
            </w:r>
          </w:p>
          <w:p>
            <w:pPr>
              <w:pStyle w:val="null3"/>
            </w:pPr>
            <w:r>
              <w:rPr>
                <w:rFonts w:ascii="仿宋_GB2312" w:hAnsi="仿宋_GB2312" w:cs="仿宋_GB2312" w:eastAsia="仿宋_GB2312"/>
              </w:rPr>
              <w:t>银行账号：61050171560000001077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说明：乙方应当在合同签订的 20 日内，按照合同金额的 5%金额，作为履约保证金交付给甲方，此款项不计利息或资金占用费。合同到期后，供应商无违约情形或已承担违约责任且无任何争议后，采购人无息退还履约保证金。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代理服务费收费标准：中标金额*1.05%，领取成交通知书前向代理机构一次性付清。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陕西中欣联盛工程项目管理有限公司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陕西中欣联盛工程项目管理有限公司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陕西中欣联盛工程项目管理有限公司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执行《陕西省公路局政府采购项目履约验收办法》（陕公路办〔2024〕7号）。</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联系人：任涛</w:t>
      </w:r>
    </w:p>
    <w:p>
      <w:pPr>
        <w:pStyle w:val="null3"/>
      </w:pPr>
      <w:r>
        <w:rPr>
          <w:rFonts w:ascii="仿宋_GB2312" w:hAnsi="仿宋_GB2312" w:cs="仿宋_GB2312" w:eastAsia="仿宋_GB2312"/>
        </w:rPr>
        <w:t>联系电话：15309166370</w:t>
      </w:r>
    </w:p>
    <w:p>
      <w:pPr>
        <w:pStyle w:val="null3"/>
      </w:pPr>
      <w:r>
        <w:rPr>
          <w:rFonts w:ascii="仿宋_GB2312" w:hAnsi="仿宋_GB2312" w:cs="仿宋_GB2312" w:eastAsia="仿宋_GB2312"/>
        </w:rPr>
        <w:t>地址：陕西省西安市莲湖区高新三路财富中心二期C座 1112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陕西省科技活动周以及省厅、省局关于行业科技工作的安排，结合公路行业实际工作，开展2025年陕西交通运输行业及公路行业科技交流活动，组织全省市、县交通局、公路局及公路行业单位相关科技工作者积极参与公路科技服务地方交通，振兴乡村建设科技活动，广泛展示宣传行业“四新”技术应用、信息化技术应用等科技成果，进一步激发公路人的科学精神，增强讲科学、爱科学、学科学、用科学的良好氛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陕西省交通运输科技交流活动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标的名称：陕西省交通运输科技交流活动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年交通科技活动的总体安排，结合交通运输行业实际工作，组织开展科技交流活动，组织全省省、市、县三级交通运输行业管理单位及广大交通运输科技工作者积极参与交通科技服务地方交通，展示宣传陕西交通运输科技成果。激发交通人的科技创新热情，积极营造讲科学、爱科学、学科学、用科学的良好氛围，服务科技强省建设，绘图美好生活。</w:t>
            </w:r>
            <w:r>
              <w:rPr>
                <w:rFonts w:ascii="仿宋_GB2312" w:hAnsi="仿宋_GB2312" w:cs="仿宋_GB2312" w:eastAsia="仿宋_GB2312"/>
                <w:sz w:val="24"/>
              </w:rPr>
              <w:t>项目成果资料需完整、准确，符合相关规定要求。主要包括以下内容：</w:t>
            </w:r>
            <w:r>
              <w:rPr>
                <w:rFonts w:ascii="仿宋_GB2312" w:hAnsi="仿宋_GB2312" w:cs="仿宋_GB2312" w:eastAsia="仿宋_GB2312"/>
                <w:sz w:val="24"/>
              </w:rPr>
              <w:t>1.陕西省交通运输科技交流活动实施方案；2.活动总结（包含活动的主题、报告题目和报告人、参会人数、活动情况、活动照片等）；3.影音资料（包括视频、照片）；4.科技成果展览展示缩编展示图及电子版源文件；5.各专题讲座的总结报告（包含报告内容、参会人数、主承办单位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服务团队不少于5人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免费提供专家咨询服务、服务时间不低于1年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按照《陕西省公路局政府采购项目履约验收办法》（陕公路办〔2024〕7号）集中组织验收。乙方提交的项目成果资料需完整、准确，符合相关规定要求。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甲方收到乙方缴纳的履约保证金及符合要求的发票后20个工作日内，甲方支付乙方合同总金额的60%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乙方提交工作总结报告和阶段成果资料，经甲方认可，甲方支付乙方剩余合同总金额的40%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（1）甲方和乙方双方违约责任遵照本项目磋商文件合同条款的规定。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乙方逾期完成工作成果，乙方每逾一日应按照合同款总的3‰/日的标准向甲方支付滞纳金。逾期超过30天后，甲方有权随时解除合同，并有权收回支付的任何费用；乙方在合同履行过程中，有上述违约行为之外的其他违约责任的，应按照合同总金额的20%向甲方支付违约金。 （4）乙方不能交工时，乙方应按照合同总金额的20%向甲方支付违约金。 （5）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本合同在履行过程中发生的争议，双方当事人以和解或调解方式为主，和解或调解不成的，应向甲方所在地法院诉讼解决。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（1）供应商为具有独立承担民事责任能力的企业法人或其他组织或自然人，并出具有效的营业执照（事业法人证）或证明文件或自然人的身份证明； （2）法定代表人参加投标的，提供本人身份证复印件并出示身份证；法定代表人授权他人参加投标的，提供法定代表人授权委托书并出示被授权代表的身份证； （3）税收缴纳证明：提供供应商自投标以来近年（2024年4月至今）任意一个月完税凭证或税务机关开具的完税证明（任意税种）；依法免税的应提供相关文件证明； （4）社会保障资金缴纳证明：提供供应商自投标以来近年（2024年4月至今）任意一个月的社会保障资金缴存单据或社保机构开具的社会保险参保缴费情况证明；依法不需要缴纳社会保障资金的应提供相关文件证明； （5）参加政府采购活动近3年内，在经营活动中没有重大违法记录的书面声明； （6）供应商不得被“信用中国”网站（www.creditchina.gov.cn）和中国政府采购网站（www.ccgp.gov.cn）列入失信被执行人、重大税收违法案件当事人名单、政府采购严重违法失信行为记录名单。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提供具有财务审计资质单位出具的2023年或2024年度财务审计报告或开标前六个月内其基本账户银行出具的资信证明或政府采购信用担保机构出具的投标担保函。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其他证明材料.docx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其他证明材料.docx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本项目为非专门面向中小企业的项目</w:t>
            </w:r>
          </w:p>
        </w:tc>
        <w:tc>
          <w:tcPr>
            <w:tcW w:type="dxa" w:w="3322"/>
          </w:tcPr>
          <w:p>
            <w:pPr>
              <w:pStyle w:val="null3"/>
            </w:pPr>
            <w:r>
              <w:rPr>
                <w:rFonts w:ascii="仿宋_GB2312" w:hAnsi="仿宋_GB2312" w:cs="仿宋_GB2312" w:eastAsia="仿宋_GB2312"/>
              </w:rPr>
              <w:t>本项目为非专门面向中小企业的项目</w:t>
            </w:r>
          </w:p>
        </w:tc>
        <w:tc>
          <w:tcPr>
            <w:tcW w:type="dxa" w:w="1661"/>
          </w:tcPr>
          <w:p>
            <w:pPr>
              <w:pStyle w:val="null3"/>
            </w:pPr>
            <w:r>
              <w:rPr>
                <w:rFonts w:ascii="仿宋_GB2312" w:hAnsi="仿宋_GB2312" w:cs="仿宋_GB2312" w:eastAsia="仿宋_GB2312"/>
              </w:rPr>
              <w:t>中小企业声明函 残疾人福利性单位声明函 其他证明材料.docx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其他证明材料.docx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法定代表人参加投标的，提供本人身份证复印件并出示身份证；法定代表人授权他人参加投标的，提供法定代表人授权委托书并出示被授权代表的身份证；</w:t>
            </w:r>
          </w:p>
        </w:tc>
        <w:tc>
          <w:tcPr>
            <w:tcW w:type="dxa" w:w="1661"/>
          </w:tcPr>
          <w:p>
            <w:pPr>
              <w:pStyle w:val="null3"/>
            </w:pPr>
            <w:r>
              <w:rPr>
                <w:rFonts w:ascii="仿宋_GB2312" w:hAnsi="仿宋_GB2312" w:cs="仿宋_GB2312" w:eastAsia="仿宋_GB2312"/>
              </w:rPr>
              <w:t>其他证明材料.docx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提供具有财务审计资质单位出具的2023年度或者2024年度财务审计报告或开标前六个月内其基本账户银行出具的资信证明或政府采购信用担保机构出具的投标担保函；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其他证明材料.docx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提供供应商自投标以来近年（2024年4月至今）任意一个月完税凭证或税务机关开具的完税证明（任意税种）；依法免税的应提供相关文件证明；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其他证明材料.docx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提供供应商自投标以来近年（2024年4月至今）任意一个月的社会保障资金缴存单据或社保机构开具的社会保险参保缴费情况证明；依法不需要缴纳社会保障资金的应提供相关文件证明；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其他证明材料.docx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承诺书.docx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供应商不得被“信用中国”网站（www.creditchina.gov.cn）和中国政府采购网站（www.ccgp.gov.cn）列入失信被执行人、重大税收违法案件当事人名单、政府采购严重违法失信行为记录名单。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其他证明材料.docx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1）不同供应商的响应文件由同一单位或者个人编制；（2）不同供应商委托同一单位或者个人办理磋商事宜；（3）不同供应商的响应文件载明的项目管理成员为同一人；（4）不同供应商的响应文件异常一致或者磋商报价呈规律性差异；（5）不同供应商的响应文件相互混装；（6）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承诺书.docx 标的清单 其他证明材料.docx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竞争性磋商按磋商文件要求电子签章</w:t>
            </w:r>
          </w:p>
        </w:tc>
        <w:tc>
          <w:tcPr>
            <w:tcW w:type="dxa" w:w="3322"/>
          </w:tcPr>
          <w:p>
            <w:pPr>
              <w:pStyle w:val="null3"/>
            </w:pPr>
            <w:r>
              <w:rPr>
                <w:rFonts w:ascii="仿宋_GB2312" w:hAnsi="仿宋_GB2312" w:cs="仿宋_GB2312" w:eastAsia="仿宋_GB2312"/>
              </w:rPr>
              <w:t>投标人应按竞争性磋商文件要求对招标文件进行电子签章。</w:t>
            </w:r>
          </w:p>
        </w:tc>
        <w:tc>
          <w:tcPr>
            <w:tcW w:type="dxa" w:w="1661"/>
          </w:tcPr>
          <w:p>
            <w:pPr>
              <w:pStyle w:val="null3"/>
            </w:pPr>
            <w:r>
              <w:rPr>
                <w:rFonts w:ascii="仿宋_GB2312" w:hAnsi="仿宋_GB2312" w:cs="仿宋_GB2312" w:eastAsia="仿宋_GB2312"/>
              </w:rPr>
              <w:t>中小企业声明函 其他证明材料.docx 承诺书.docx 报价表 商务应答表.docx 响应文件封面 技术文件.docx 残疾人福利性单位声明函 标的清单 供应商资格证明文件.docx 响应函 监狱企业的证明文件 服务应答表.docx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中小企业声明函 承诺书.docx 其他证明材料.docx 商务应答表.docx 报价表 响应文件封面 技术文件.docx 残疾人福利性单位声明函 标的清单 供应商资格证明文件.docx 响应函 监狱企业的证明文件 服务应答表.docx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一、评审内容 供应商针对本项目编制整体方案，内容包括：①活动简介：活动主题、活动时间、活动地点、主办单位、参会人员、邀请嘉宾、展示内容、展示方式；②活动安排：根据具体时间安排；③媒体宣传：报道媒体、摄影、摄像；④人员分工：工作组、组长、副组长、成员、主要工作；⑤策划方案及现场效果：根据现场情况设计。 二、评审标准 1.完整性：方案必须全面，对评审内容中的各项要求有详细描述； 2.可实施性：切合本项目实际情况，提出步骤清晰、合理的方案； 3.针对性：方案能够紧扣项目实际情况，内容科学合理。 三、赋分标准（满分24分） ①活动简介：每完全满足一个评审标准得1.5分，满分4.5分； ②活动安排：每完全满足一个评审标准得1.5分，满分4.5分； ③媒体宣传：每完全满足一个评审标准得1.5分，满分4.5分； ④人员分工：每完全满足一个评审标准得1.5分，满分4.5分； ⑤策划方案及现场效果：每完全满足一个评审标准得2分，满分6分。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一、评审内容 供应商针对本项目制定工作进度计划，内容包括：①进度计划安排；②进度计划保证措施。 二、评审标准 1.完整性：方案必须全面，对评审内容中的各项要求有详细描述； 2.可实施性：切合本项目实际情况，提出步骤清晰、合理的方案； 3.针对性：方案能够紧扣项目实际情况，内容科学合理。 三、赋分标准（满分12分） ①进度计划安排：每完全满足一个评审标准得2分，满分6分； ②进度计划保证措施：每完全满足一个评审标准得2分，满分6分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供应商针对本项目提出合理化建议，内容包括：①工作重点和难点分析；②拟采用的解决方案和合理化建议；③计划安排。 二、评审标准 1.完整性：方案必须全面，对评审内容中的各项要求有详细描述； 2.可实施性：切合本项目实际情况，提出步骤清晰、合理的方案； 3.针对性：方案能够紧扣项目实际情况，内容科学合理。 三、赋分标准（满分15分） ①工作重点和难点分析：每完全满足一个评审标准得2分，满分6分； ②拟采用的解决方案和合理化建议：每完全满足一个评审标准得1.5分，满分4.5分； ③计划安排：每完全满足一个评审标准得1.5分，满分4.5分。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供应商针对本项目提供服务承诺，内容包括：①服务承诺书；②必需的设备说明及承诺；③人员专业技术能力说明及承诺。 二、评审标准 1.完整性：方案必须全面，对评审内容中的各项要求有详细描述； 2.可实施性：切合本项目实际情况，提出步骤清晰、合理的方案； 3.针对性：方案能够紧扣项目实际情况，内容科学合理。 三、赋分标准（满分9分） ①服务承诺书：每完全满足一个评审标准得1分，满分3分； ②必需的设备说明及承诺：每完全满足一个评审标准得1分，满分3分； ③人员专业技术能力说明及承诺：每完全满足一个评审标准得1分，满分3分。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一、评审内容：供应商针对本项目组建项目团队。 二、评审标准：依据团队人员专业能力及经验量化评分。 三、赋分标准： ①项目负责人具备高级技术职称（提供证书证明），得3分； ②团队成员（除项目负责人）中具备中级及以上职称或相关专业资质的，每增加1名得1.5分，满分6分； ③团队成员参与过省级及以上科技项目（提供合同证明），每提供1个合同证明得2分，满分4分。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一、评审内容 供应商提供自2022年1月1日（以合同签订时间为准）以来，类似项目业绩。 二、评审标准 1.以提供的合同复印件加盖公章为准； 三、赋分标准： 每提供一份有效业绩得4分，满分12分。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满足招标文件要求且投标价格最低的投标报价为评标基准价，其价格分为15分。其他投标人的价格分统一按照下列公式计算（小数点后保留两位）： 投标报价得分=(评标基准价／投标报价)×15 备注： 1.评分计算保留2位小数，第3位小数四舍五入。 2.评标委员会对满足招标文件实质性要求的投标文件，按照本章规定的评分标准进行打分，并按得分由高到低顺序推荐中标候选人，或根据招标人授权直接确定中标人，但投标报价低于其成本的除外。综合评分相等时，以投标报价低的优先；投标报价也相等的，按技术指标优劣排序。评审得分且最后报价且技术指标得分均相同的，成交候选供应商并列。 3.投标报价不完整的，不进入评标基准价的计算，本项得0分。 4.报价超过采购预算或最高限价的，按无效响应处理。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