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版本号：FY2025-ZF-YJGL10720250611001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陕西应急管理融媒体平台运维项目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FY2025-ZF-YJGL107</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福元项目管理有限公司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福元项目管理有限公司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陕西应急管理融媒体平台运维项目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FY2025-ZF-YJGL107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陕西应急管理融媒体平台运维项目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供应商须按照至少3名编辑以上的固定人员，成立专业的内容运维服务团队，为采购人负责PC网站及wap手机站的内容更新、官方微信公众号内容编发运营、官方微信视频号内容编发运营、官方微博内容编发运营的工作。 2.供应商的运维服务团队须负责采购人“陕西应急管理融媒体平台”的专题专栏策划、设计制作和信息填充。同时围绕采购人宣传工作需要，为采购人策划、设计、制作图解产品、图片海报、活动视频。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采购包1（陕西应急管理融媒体平台运维项目）：属于专门面向中小企业采购。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1、具有独立承担民事责任能力的法人：具有独立承担民事责任能力的法人、其他社会组织或自然人，并出具合法有效的营业执照或事业单位法人证书等国家规定的相关证明，自然人参与的提供其身份证明。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8、法定代表人授权书：法定代表人授权书及授权人身份证复印件（法定代表人直接磋商时,只需提交法定代表人身份证）。</w:t>
      </w:r>
    </w:p>
    <w:p>
      <w:pPr>
        <w:pStyle w:val="null3"/>
      </w:pPr>
      <w:r>
        <w:rPr>
          <w:rFonts w:ascii="仿宋_GB2312" w:hAnsi="仿宋_GB2312" w:cs="仿宋_GB2312" w:eastAsia="仿宋_GB2312"/>
        </w:rPr>
        <w:t>9、中小企业申明函：提供中小企业声明函（本项目为专门面向中小微企业采购）。</w:t>
      </w:r>
    </w:p>
    <w:p>
      <w:pPr>
        <w:pStyle w:val="null3"/>
      </w:pPr>
      <w:r>
        <w:rPr>
          <w:rFonts w:ascii="仿宋_GB2312" w:hAnsi="仿宋_GB2312" w:cs="仿宋_GB2312" w:eastAsia="仿宋_GB2312"/>
        </w:rPr>
        <w:t>10、互联网信息服务许可证：具有互联网信息服务许可证。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福元项目管理有限公司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西安市未央区西安市凤城七路明丰国际1308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13909224219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代理服务费收费标准：1、招标代理服务费按约定由中标人支付，领取中标通知书前，由中标人向采购代理机构缴纳代理服务费，一次性付清。 2、招标代理服务费以中标金额为基数参照《国家计委关于印发&lt;招标代理服务收费管理暂行办法&gt;的通知》（计价格[2002]1980号）和国家发改委办公厅颁发的《关于招标代理服务收费有关问题的通知》（发改办价格[2003]857号）的有关规定按标准收取。 3、代理服务费缴纳账户： 开户名称：福元项目管理有限公司 开户银行：西安银行股份有限公司长庆支行，账号：116011580000143127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福元项目管理有限公司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福元项目管理有限公司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福元项目管理有限公司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联系人：陈晓英</w:t>
      </w:r>
    </w:p>
    <w:p>
      <w:pPr>
        <w:pStyle w:val="null3"/>
      </w:pPr>
      <w:r>
        <w:rPr>
          <w:rFonts w:ascii="仿宋_GB2312" w:hAnsi="仿宋_GB2312" w:cs="仿宋_GB2312" w:eastAsia="仿宋_GB2312"/>
        </w:rPr>
        <w:t>联系电话：13909224219</w:t>
      </w:r>
    </w:p>
    <w:p>
      <w:pPr>
        <w:pStyle w:val="null3"/>
      </w:pPr>
      <w:r>
        <w:rPr>
          <w:rFonts w:ascii="仿宋_GB2312" w:hAnsi="仿宋_GB2312" w:cs="仿宋_GB2312" w:eastAsia="仿宋_GB2312"/>
        </w:rPr>
        <w:t>地址：西安市未央区大明宫街道君城国际A座1703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供应商须按照至少3名编辑以上的固定人员，成立专业的内容运维服务团队，为采购人负责PC网站及wap手机站的内容更新、官方微信公众号内容编发运营、官方微信视频号内容编发运营、官方微博内容编发运营的工作。 供应商的运维服务团队须负责采购人“陕西应急管理融媒体平台”的专题专栏策划、设计制作和信息填充。同时围绕采购人宣传工作需要，为采购人策划、设计、制作图解产品、图片海报、活动视频。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陕西应急管理融媒体平台运维项目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标的名称：陕西应急管理融媒体平台运维项目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陕西应急管理融媒体平台</w:t>
            </w:r>
            <w:r>
              <w:rPr>
                <w:rFonts w:ascii="仿宋_GB2312" w:hAnsi="仿宋_GB2312" w:cs="仿宋_GB2312" w:eastAsia="仿宋_GB2312"/>
                <w:sz w:val="24"/>
                <w:b/>
              </w:rPr>
              <w:t>运维服务采购内容及要求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须按照至少3名编辑以上的固定人员，成立专业的内容运维服务团队，为采购人负责PC网站及wap手机站的内容更新、官方微信公众号内容编发运营、官方微信视频号内容编发运营、官方微博内容编发运营的工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供应商的运维服务团队须负责采购人“陕西应急管理融媒体平台”的专题专栏策划、设计制作和信息填充。同时围绕采购人宣传工作需要，为采购人策划、设计、制作图解产品、图片海报、活动视频。</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具体参数要求</w:t>
            </w:r>
          </w:p>
          <w:p>
            <w:pPr>
              <w:pStyle w:val="null3"/>
              <w:ind w:firstLine="482"/>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3"/>
              <w:gridCol w:w="1008"/>
              <w:gridCol w:w="471"/>
              <w:gridCol w:w="192"/>
              <w:gridCol w:w="192"/>
              <w:gridCol w:w="270"/>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名称</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运营内容</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运营要求</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备注</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PC官网内容、WAP手机站内容运营</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名编辑负责陕西省应急管理厅PC官网及wap手机站的栏目内容更新，以及每月官网内容的修正。</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名编辑人员专职负责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微信公众号内容运营</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名编辑负责微信公众号内容的编辑、审核与发布。微信公众号更新条数，全年不少于1800条。</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名编辑人员专职负责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微博、微信视频号内容运营</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名编辑负责微博话题设置及微博内容更新，更新条数全年不少于3500条；微信视频号内容更新条数，全年不少于100条。</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名编辑人员专职负责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专题</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负责</w:t>
                  </w:r>
                  <w:r>
                    <w:rPr>
                      <w:rFonts w:ascii="仿宋_GB2312" w:hAnsi="仿宋_GB2312" w:cs="仿宋_GB2312" w:eastAsia="仿宋_GB2312"/>
                      <w:sz w:val="19"/>
                    </w:rPr>
                    <w:t>PC</w:t>
                  </w:r>
                  <w:r>
                    <w:rPr>
                      <w:rFonts w:ascii="仿宋_GB2312" w:hAnsi="仿宋_GB2312" w:cs="仿宋_GB2312" w:eastAsia="仿宋_GB2312"/>
                      <w:sz w:val="19"/>
                    </w:rPr>
                    <w:t>官网专题的策划、制作与内容填充。</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图解</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用数据、图标等形式解读陕西省应急管理厅的相关工作、政策、文件。</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海报</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在重点、重大宣传活动、</w:t>
                  </w:r>
                  <w:r>
                    <w:rPr>
                      <w:rFonts w:ascii="仿宋_GB2312" w:hAnsi="仿宋_GB2312" w:cs="仿宋_GB2312" w:eastAsia="仿宋_GB2312"/>
                      <w:sz w:val="19"/>
                    </w:rPr>
                    <w:t>24</w:t>
                  </w:r>
                  <w:r>
                    <w:rPr>
                      <w:rFonts w:ascii="仿宋_GB2312" w:hAnsi="仿宋_GB2312" w:cs="仿宋_GB2312" w:eastAsia="仿宋_GB2312"/>
                      <w:sz w:val="19"/>
                    </w:rPr>
                    <w:t>节气中，在新媒体端制作微海报，对省应急厅工作进行宣传、扩散。</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张</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活动快剪视频</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9"/>
                    </w:rPr>
                    <w:t>针对重大活动，拍摄制作活动短视频。（60秒内）</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版响应文件，正本壹份、副本贰份。若线上电子响应文件与纸质响应文件不一致的，以线上电子响应文件为准；若正本和副本不符，以正本为准。 线下递交文件地点：西安市未央区大明宫街道君城国际A座1703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w:t>
            </w:r>
          </w:p>
        </w:tc>
        <w:tc>
          <w:tcPr>
            <w:tcW w:type="dxa" w:w="3322"/>
          </w:tcPr>
          <w:p>
            <w:pPr>
              <w:pStyle w:val="null3"/>
            </w:pPr>
            <w:r>
              <w:rPr>
                <w:rFonts w:ascii="仿宋_GB2312" w:hAnsi="仿宋_GB2312" w:cs="仿宋_GB2312" w:eastAsia="仿宋_GB2312"/>
              </w:rPr>
              <w:t>具有独立承担民事责任能力的法人、其他社会组织或自然人，并出具合法有效的营业执照或事业单位法人证书等国家规定的相关证明，自然人参与的提供其身份证明。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法定代表人授权书及授权人身份证复印件（法定代表人直接磋商时,只需提交法定代表人身份证）。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中小企业申明函</w:t>
            </w:r>
          </w:p>
        </w:tc>
        <w:tc>
          <w:tcPr>
            <w:tcW w:type="dxa" w:w="3322"/>
          </w:tcPr>
          <w:p>
            <w:pPr>
              <w:pStyle w:val="null3"/>
            </w:pPr>
            <w:r>
              <w:rPr>
                <w:rFonts w:ascii="仿宋_GB2312" w:hAnsi="仿宋_GB2312" w:cs="仿宋_GB2312" w:eastAsia="仿宋_GB2312"/>
              </w:rPr>
              <w:t>提供中小企业声明函（本项目为专门面向中小微企业采购）。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互联网信息服务许可证</w:t>
            </w:r>
          </w:p>
        </w:tc>
        <w:tc>
          <w:tcPr>
            <w:tcW w:type="dxa" w:w="3322"/>
          </w:tcPr>
          <w:p>
            <w:pPr>
              <w:pStyle w:val="null3"/>
            </w:pPr>
            <w:r>
              <w:rPr>
                <w:rFonts w:ascii="仿宋_GB2312" w:hAnsi="仿宋_GB2312" w:cs="仿宋_GB2312" w:eastAsia="仿宋_GB2312"/>
              </w:rPr>
              <w:t>具有互联网信息服务许可证。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 xml:space="preserve"> 供应商名称与营业执照一致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响应文件的有效期、服务期达到磋商文件要求</w:t>
            </w:r>
          </w:p>
        </w:tc>
        <w:tc>
          <w:tcPr>
            <w:tcW w:type="dxa" w:w="3322"/>
          </w:tcPr>
          <w:p>
            <w:pPr>
              <w:pStyle w:val="null3"/>
            </w:pPr>
            <w:r>
              <w:rPr>
                <w:rFonts w:ascii="仿宋_GB2312" w:hAnsi="仿宋_GB2312" w:cs="仿宋_GB2312" w:eastAsia="仿宋_GB2312"/>
              </w:rPr>
              <w:t>响应文件的有效期、服务期达到磋商文件要求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响应报价唯一，未超出采购预算或竞争性磋商采购文件规定的最高限价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供应商根据采购人需求提供项目实施运维方案，包含对项目的实施运维目标、需求及内容的理解。 1、方案全面完整，深刻理解服务内容的建设背景和项目需求，对评审内容中的各项要求有详细阐述计25.1-35分; 2、服务方案科学、实用强，内容较完整，满足采购人需求计15.1-25分; 3、服务方案一般，对评审内容中的各项要求阐述较为详细计10.1-15分; 4、对采购项目理解一般，满足部分内容，针对性较差，计0-10分。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实施组织计划</w:t>
            </w:r>
          </w:p>
        </w:tc>
        <w:tc>
          <w:tcPr>
            <w:tcW w:type="dxa" w:w="2492"/>
          </w:tcPr>
          <w:p>
            <w:pPr>
              <w:pStyle w:val="null3"/>
            </w:pPr>
            <w:r>
              <w:rPr>
                <w:rFonts w:ascii="仿宋_GB2312" w:hAnsi="仿宋_GB2312" w:cs="仿宋_GB2312" w:eastAsia="仿宋_GB2312"/>
              </w:rPr>
              <w:t>供应商针对本项目制定明确、切实可行的实施组织计划，内容包括但不限于项目管理措施、进度计划安排、工作协调等。 1、实施组织计划明确，进度安排结合本项目实际情况切实可行，计7.1-10分； 2、实施组织计划较明确，进度安排基本结合本项目实际情况，计3.1-7分； 3、实施组织计划较差、进度安排未结合本项目实际情况，计0-3分。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供应商针对本项目提供完整、具体可行的质量保障措施，结合本项目要求阐述服务质量保障措施。 1、服务质量的保障措施科学合理、具体可行计7.1-10分； 2、保障措施基本合理计3.1-7分； 3、保障措施简单、不太利于项目实施计0.1-3分。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供应商针对本项目具有出现突发情况的应急保障方案，内容包括但不限于响应时间、定期巡查、应急解决方案、服务监督管理机制等。 1、保障方案完善、切实可行，计7. 1-10分； 2、保障方案较完善、可行度较高，计3.1-7分； 3、保障方案不足，计0-3分。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供应商针对本项目配备满足采购人需求的专业团队，并提供拟配服务人员的相关介绍(包含但不限于人员基本信息、相关证书和经验等) 。 1、人员数量完全满足项目需求 、团队人员经验丰富，简历清晰信息完整计7.1-10分； 2、人员数量基本满足项目需求、简历清晰信息基本完整计3.1-7分； 3、人员数量能够满足项目需求、但简历信息不完善的计0.1-3分。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提供投标人2022年1月1日至今同类项目合同(以合同签订日期为准)，每提供1个得2分，最高得10分。 备注：磋商文件中提供合同复印件加盖公章。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供应商针对本项目提供在满足本次采购需求的基础上的其他有利于项目实施的增值服务。服务内容对本项目有实质性提升计3.1-5分；服务内容对本项目有细微提升计0.1-3分，未响应不计分。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