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版本号：ZY2025-ZB-CS103720250606001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科技与信息化建设设计咨询服务项目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ZY2025-ZB-CS1037</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科技与信息化建设设计咨询服务项目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ZY2025-ZB-CS1037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科技与信息化建设设计咨询服务项目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科技与信息化建设设计咨询服务项目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2、财务状况报告：提供2023年度或2024年度经审计的完整财务报告或磋商日期前三个月内其基本存款账户开户银行出具的资信证明。（如提供资信证明，须同时提供基本存款账户开户许可证或基本账户信息表）。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3、税收缴纳证明：提供2024年11月至今已缴纳的至少一个月的纳税证明（时间以税款所属日期为准)，依法免税的单位应提供相关证明材料。</w:t>
      </w:r>
    </w:p>
    <w:p>
      <w:pPr>
        <w:pStyle w:val="null3"/>
      </w:pPr>
      <w:r>
        <w:rPr>
          <w:rFonts w:ascii="仿宋_GB2312" w:hAnsi="仿宋_GB2312" w:cs="仿宋_GB2312" w:eastAsia="仿宋_GB2312"/>
        </w:rPr>
        <w:t>4、社会保障资金缴纳证明：提供2024年11月至今已缴存的至少一个月的社会保障资金缴存单据或社保机构开具的社会保险参保缴费情况证明，依法不需要缴纳社会保障资金的单位应提供相关证明材料。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5、书面声明：提供具有履行本合同所必需的设备和专业技术能力的书面声明。</w:t>
      </w:r>
    </w:p>
    <w:p>
      <w:pPr>
        <w:pStyle w:val="null3"/>
      </w:pPr>
      <w:r>
        <w:rPr>
          <w:rFonts w:ascii="仿宋_GB2312" w:hAnsi="仿宋_GB2312" w:cs="仿宋_GB2312" w:eastAsia="仿宋_GB2312"/>
        </w:rPr>
        <w:t>6、无重大违法记录：提供参加本次政府采购活动前三年内在经营活动中没有重大违法记录的书面声明。</w:t>
      </w:r>
    </w:p>
    <w:p>
      <w:pPr>
        <w:pStyle w:val="null3"/>
      </w:pPr>
      <w:r>
        <w:rPr>
          <w:rFonts w:ascii="仿宋_GB2312" w:hAnsi="仿宋_GB2312" w:cs="仿宋_GB2312" w:eastAsia="仿宋_GB2312"/>
        </w:rPr>
        <w:t>7、信用记录：未被列入信用中国网站(www.creditchina.gov.cn)“失信被执行人、重大税收违法失信主体”；不处于中国政府采购网(www.ccgp.gov.cn)“政府采购严重违法失信行为信息记录”中的禁止参加政府采购活动期间。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8、授权委托书：法定代表人授权委托书、被授权人身份证（法定代表人参加磋商时,只需提供法定代表人身份证）。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陕西省市场监督管理局经办（汪老师）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029-86138665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价格为基数，依据《招标代理服务收费管理暂行办法》（计价格[2002]1980号）和《关于招标代理服务收费有关问题的通知》（发改办价格[2003]857号）文件规定执行；不足8000.00元按8000.00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以采购人要求为准。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联系人：冯丹</w:t>
      </w:r>
    </w:p>
    <w:p>
      <w:pPr>
        <w:pStyle w:val="null3"/>
      </w:pPr>
      <w:r>
        <w:rPr>
          <w:rFonts w:ascii="仿宋_GB2312" w:hAnsi="仿宋_GB2312" w:cs="仿宋_GB2312" w:eastAsia="仿宋_GB2312"/>
        </w:rPr>
        <w:t>联系电话：029-86210100转802</w:t>
      </w:r>
    </w:p>
    <w:p>
      <w:pPr>
        <w:pStyle w:val="null3"/>
      </w:pPr>
      <w:r>
        <w:rPr>
          <w:rFonts w:ascii="仿宋_GB2312" w:hAnsi="仿宋_GB2312" w:cs="仿宋_GB2312" w:eastAsia="仿宋_GB2312"/>
        </w:rPr>
        <w:t>地址：陕西省西安市未央区西安经济技术开发区凤城一路6号利君V时代B座901、912室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党中央、国务院对市场监管工作高度重视，总书记在党的十九大报告中强调：“要转变政府职能，深化简政放权，创新监管方式，增强政府公信力和执行力，建设人民满意的服务型政府”。</w:t>
      </w:r>
    </w:p>
    <w:p>
      <w:pPr>
        <w:pStyle w:val="null3"/>
        <w:ind w:firstLine="480"/>
      </w:pPr>
      <w:r>
        <w:rPr>
          <w:rFonts w:ascii="仿宋_GB2312" w:hAnsi="仿宋_GB2312" w:cs="仿宋_GB2312" w:eastAsia="仿宋_GB2312"/>
        </w:rPr>
        <w:t>推进智慧监管是深化放管服改革、优化营商环境的必然要求。国务院《“十四五”市场监管现代化规划的通知》明确将智慧监管作为加强和改善市场监管的一项重要原则，指出“要适应新一轮科技革命和产业变革趋势，适应市场主体活跃发展的客观要求，充分发挥新科技在市场监管中的作用。运用大数据等推动监管创新，依托互联网、大数据技术，推动‘互联网+监管’的智慧监管模式，提高市场监管智能化水平。</w:t>
      </w:r>
    </w:p>
    <w:p>
      <w:pPr>
        <w:pStyle w:val="null3"/>
        <w:ind w:firstLine="480"/>
      </w:pPr>
      <w:r>
        <w:rPr>
          <w:rFonts w:ascii="仿宋_GB2312" w:hAnsi="仿宋_GB2312" w:cs="仿宋_GB2312" w:eastAsia="仿宋_GB2312"/>
        </w:rPr>
        <w:t>2025年是“十四五”规划的收官之年，也是“十五五”规划的启动之年，是实现市场监管现代化的关键时期。在我国进入新发展阶段，以信息化推动市场监管现代化，是实现国家治理体系、治理能力和治理制度机制现代化的必然途径，是提升市场监管能力和服务水平的重要手段。“智慧市场监管”的建设是持续增强市场监管能力、不断优化市场营商环境、完善市场监管体制的关键性支撑，是完善市场综合监管功能、促进资源整合、提升政府形象具有重要意义，有利于增强社会的稳定，促进和谐社会建设，拉动经济增长，维护消费者权益，保障和改善民生，全力维护祖国统一，加强民族团进，促进社会和谐稳定，具有较好的社会效益。通过“智慧市场监管”形成纵横互通、资源共享，全面整合、强化创新及深化应用支撑市场监管事业的改革发展，实现宽松便捷的准入环境、公平有序的竞争环境、安全放心的消费环境，高质量发展支撑和服务环境。通过顶层统一规划，实行统一的市场监管，推进统一的综合执法，促进跨系统、跨部门、跨地域部门间联动，实现市场监管优化协同高效，实现市场监管各业务的全面贯通，“智慧市场监管”建设不仅仅是一项信息化工程，更是一场技术引领下的市场监管革命，对市场监管工作的影响极其深远，意义重大。</w:t>
      </w:r>
    </w:p>
    <w:p>
      <w:pPr>
        <w:pStyle w:val="null3"/>
        <w:jc w:val="both"/>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科技与信息化建设设计咨询服务项目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标的名称：科技与信息化建设设计咨询服务项目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一、项目概述</w:t>
            </w:r>
          </w:p>
          <w:p>
            <w:pPr>
              <w:pStyle w:val="null3"/>
              <w:jc w:val="both"/>
            </w:pPr>
            <w:r>
              <w:rPr>
                <w:rFonts w:ascii="仿宋_GB2312" w:hAnsi="仿宋_GB2312" w:cs="仿宋_GB2312" w:eastAsia="仿宋_GB2312"/>
              </w:rPr>
              <w:t>1.1项目名称</w:t>
            </w:r>
          </w:p>
          <w:p>
            <w:pPr>
              <w:pStyle w:val="null3"/>
              <w:jc w:val="both"/>
            </w:pPr>
            <w:r>
              <w:rPr>
                <w:rFonts w:ascii="仿宋_GB2312" w:hAnsi="仿宋_GB2312" w:cs="仿宋_GB2312" w:eastAsia="仿宋_GB2312"/>
              </w:rPr>
              <w:t>科技与信息化建设设计咨询服务项目</w:t>
            </w:r>
          </w:p>
          <w:p>
            <w:pPr>
              <w:pStyle w:val="null3"/>
              <w:jc w:val="both"/>
            </w:pPr>
            <w:r>
              <w:rPr>
                <w:rFonts w:ascii="仿宋_GB2312" w:hAnsi="仿宋_GB2312" w:cs="仿宋_GB2312" w:eastAsia="仿宋_GB2312"/>
              </w:rPr>
              <w:t>1.2项目简介</w:t>
            </w:r>
          </w:p>
          <w:p>
            <w:pPr>
              <w:pStyle w:val="null3"/>
              <w:jc w:val="both"/>
            </w:pPr>
            <w:r>
              <w:rPr>
                <w:rFonts w:ascii="仿宋_GB2312" w:hAnsi="仿宋_GB2312" w:cs="仿宋_GB2312" w:eastAsia="仿宋_GB2312"/>
              </w:rPr>
              <w:t>党中央、国务院对市场监管工作高度重视，总书记在党的十九大报告中强调：“要转变政府职能，深化简政放权，创新监管方式，增强政府公信力和执行力，建设人民满意的服务型政府”。</w:t>
            </w:r>
          </w:p>
          <w:p>
            <w:pPr>
              <w:pStyle w:val="null3"/>
              <w:jc w:val="both"/>
            </w:pPr>
            <w:r>
              <w:rPr>
                <w:rFonts w:ascii="仿宋_GB2312" w:hAnsi="仿宋_GB2312" w:cs="仿宋_GB2312" w:eastAsia="仿宋_GB2312"/>
              </w:rPr>
              <w:t>推进智慧监管是深化放管服改革、优化营商环境的必然要求。国务院《“十四五”市场监管现代化规划的通知》明确将智慧监管作为加强和改善市场监管的一项重要原则，指出“要适应新一轮科技革命和产业变革趋势，适应市场主体活跃发展的客观要求，充分发挥新科技在市场监管中的作用。运用大数据等推动监管创新，依托互联网、大数据技术，推动‘互联网+监管’的智慧监管模式，提高市场监管智能化水平。</w:t>
            </w:r>
          </w:p>
          <w:p>
            <w:pPr>
              <w:pStyle w:val="null3"/>
              <w:jc w:val="both"/>
            </w:pPr>
            <w:r>
              <w:rPr>
                <w:rFonts w:ascii="仿宋_GB2312" w:hAnsi="仿宋_GB2312" w:cs="仿宋_GB2312" w:eastAsia="仿宋_GB2312"/>
              </w:rPr>
              <w:t>2025年是“十四五”规划的收官之年，也是“十五五”规划的启动之年，是实现市场监管现代化的关键时期。在我国进入新发展阶段，以信息化推动市场监管现代化，是实现国家治理体系、治理能力和治理制度机制现代化的必然途径，是提升市场监管能力和服务水平的重要手段。“智慧市场监管”的建设是持续增强市场监管能力、不断优化市场营商环境、完善市场监管体制的关键性支撑，是完善市场综合监管功能、促进资源整合、提升政府形象具有重要意义，有利于增强社会的稳定，促进和谐社会建设，拉动经济增长，维护消费者权益，保障和改善民生，全力维护祖国统一，加强民族团进，促进社会和谐稳定，具有较好的社会效益。通过“智慧市场监管”形成纵横互通、资源共享，全面整合、强化创新及深化应用支撑市场监管事业的改革发展，实现宽松便捷的准入环境、公平有序的竞争环境、安全放心的消费环境，高质量发展支撑和服务环境。通过顶层统一规划，实行统一的市场监管，推进统一的综合执法，促进跨系统、跨部门、跨地域部门间联动，实现市场监管优化协同高效，实现市场监管各业务的全面贯通，“智慧市场监管”建设不仅仅是一项信息化工程，更是一场技术引领下的市场监管革命，对市场监管工作的影响极其深远，意义重大。</w:t>
            </w:r>
          </w:p>
          <w:p>
            <w:pPr>
              <w:pStyle w:val="null3"/>
              <w:jc w:val="both"/>
            </w:pPr>
            <w:r>
              <w:rPr>
                <w:rFonts w:ascii="仿宋_GB2312" w:hAnsi="仿宋_GB2312" w:cs="仿宋_GB2312" w:eastAsia="仿宋_GB2312"/>
              </w:rPr>
              <w:t>1.3服务内容</w:t>
            </w:r>
          </w:p>
          <w:p>
            <w:pPr>
              <w:pStyle w:val="null3"/>
              <w:jc w:val="both"/>
            </w:pPr>
            <w:r>
              <w:rPr>
                <w:rFonts w:ascii="仿宋_GB2312" w:hAnsi="仿宋_GB2312" w:cs="仿宋_GB2312" w:eastAsia="仿宋_GB2312"/>
              </w:rPr>
              <w:t>(1)陕西省市场监督管理局信息化项目设计咨询服务。</w:t>
            </w:r>
          </w:p>
          <w:p>
            <w:pPr>
              <w:pStyle w:val="null3"/>
              <w:jc w:val="both"/>
            </w:pPr>
            <w:r>
              <w:rPr>
                <w:rFonts w:ascii="仿宋_GB2312" w:hAnsi="仿宋_GB2312" w:cs="仿宋_GB2312" w:eastAsia="仿宋_GB2312"/>
              </w:rPr>
              <w:t>(2)陕西省市场监督管理局科技项目咨询服务。</w:t>
            </w:r>
          </w:p>
          <w:p>
            <w:pPr>
              <w:pStyle w:val="null3"/>
              <w:jc w:val="both"/>
            </w:pPr>
            <w:r>
              <w:rPr>
                <w:rFonts w:ascii="仿宋_GB2312" w:hAnsi="仿宋_GB2312" w:cs="仿宋_GB2312" w:eastAsia="仿宋_GB2312"/>
              </w:rPr>
              <w:t>1.4项目服务周期</w:t>
            </w:r>
          </w:p>
          <w:p>
            <w:pPr>
              <w:pStyle w:val="null3"/>
              <w:jc w:val="both"/>
            </w:pPr>
            <w:r>
              <w:rPr>
                <w:rFonts w:ascii="仿宋_GB2312" w:hAnsi="仿宋_GB2312" w:cs="仿宋_GB2312" w:eastAsia="仿宋_GB2312"/>
              </w:rPr>
              <w:t>本项目服务周期为2025年8月至2026年8月。</w:t>
            </w:r>
          </w:p>
          <w:p>
            <w:pPr>
              <w:pStyle w:val="null3"/>
              <w:jc w:val="both"/>
            </w:pPr>
            <w:r>
              <w:rPr>
                <w:rFonts w:ascii="仿宋_GB2312" w:hAnsi="仿宋_GB2312" w:cs="仿宋_GB2312" w:eastAsia="仿宋_GB2312"/>
              </w:rPr>
              <w:t>1.5项目投资及资金来源</w:t>
            </w:r>
          </w:p>
          <w:p>
            <w:pPr>
              <w:pStyle w:val="null3"/>
              <w:jc w:val="both"/>
            </w:pPr>
            <w:r>
              <w:rPr>
                <w:rFonts w:ascii="仿宋_GB2312" w:hAnsi="仿宋_GB2312" w:cs="仿宋_GB2312" w:eastAsia="仿宋_GB2312"/>
              </w:rPr>
              <w:t>本项目总投资40万元，建设资金来源于财政预算资金。</w:t>
            </w:r>
          </w:p>
          <w:p>
            <w:pPr>
              <w:pStyle w:val="null3"/>
              <w:jc w:val="both"/>
            </w:pPr>
            <w:r>
              <w:rPr>
                <w:rFonts w:ascii="仿宋_GB2312" w:hAnsi="仿宋_GB2312" w:cs="仿宋_GB2312" w:eastAsia="仿宋_GB2312"/>
              </w:rPr>
              <w:t>本项目付款条件说明如下：</w:t>
            </w:r>
          </w:p>
          <w:p>
            <w:pPr>
              <w:pStyle w:val="null3"/>
              <w:jc w:val="both"/>
            </w:pPr>
            <w:r>
              <w:rPr>
                <w:rFonts w:ascii="仿宋_GB2312" w:hAnsi="仿宋_GB2312" w:cs="仿宋_GB2312" w:eastAsia="仿宋_GB2312"/>
              </w:rPr>
              <w:t>（1）合同签订后15日历日内，支付合同总金额的80% ；</w:t>
            </w:r>
          </w:p>
          <w:p>
            <w:pPr>
              <w:pStyle w:val="null3"/>
              <w:jc w:val="both"/>
            </w:pPr>
            <w:r>
              <w:rPr>
                <w:rFonts w:ascii="仿宋_GB2312" w:hAnsi="仿宋_GB2312" w:cs="仿宋_GB2312" w:eastAsia="仿宋_GB2312"/>
              </w:rPr>
              <w:t>（2）项目到期并验收合格后15日历日内，支付合同总金额的20.00% 。</w:t>
            </w:r>
          </w:p>
          <w:p>
            <w:pPr>
              <w:pStyle w:val="null3"/>
              <w:jc w:val="both"/>
            </w:pPr>
            <w:r>
              <w:rPr>
                <w:rFonts w:ascii="仿宋_GB2312" w:hAnsi="仿宋_GB2312" w:cs="仿宋_GB2312" w:eastAsia="仿宋_GB2312"/>
              </w:rPr>
              <w:t>1.6服务目标</w:t>
            </w:r>
          </w:p>
          <w:p>
            <w:pPr>
              <w:pStyle w:val="null3"/>
              <w:jc w:val="both"/>
            </w:pPr>
            <w:r>
              <w:rPr>
                <w:rFonts w:ascii="仿宋_GB2312" w:hAnsi="仿宋_GB2312" w:cs="仿宋_GB2312" w:eastAsia="仿宋_GB2312"/>
              </w:rPr>
              <w:t>为单位开展的科技与信息化项目提供全面、专业且定制化的咨询服务，以确保其科技与信息化项目的成功实施。</w:t>
            </w:r>
          </w:p>
          <w:p>
            <w:pPr>
              <w:pStyle w:val="null3"/>
              <w:jc w:val="both"/>
            </w:pPr>
            <w:r>
              <w:rPr>
                <w:rFonts w:ascii="仿宋_GB2312" w:hAnsi="仿宋_GB2312" w:cs="仿宋_GB2312" w:eastAsia="仿宋_GB2312"/>
              </w:rPr>
              <w:t>1.7建设依据</w:t>
            </w:r>
          </w:p>
          <w:p>
            <w:pPr>
              <w:pStyle w:val="null3"/>
              <w:jc w:val="both"/>
            </w:pPr>
            <w:r>
              <w:rPr>
                <w:rFonts w:ascii="仿宋_GB2312" w:hAnsi="仿宋_GB2312" w:cs="仿宋_GB2312" w:eastAsia="仿宋_GB2312"/>
              </w:rPr>
              <w:t>(1)国务院关于印发《“十四五”市场监管现代化规划的通知》（国发〔2021〕30号）</w:t>
            </w:r>
          </w:p>
          <w:p>
            <w:pPr>
              <w:pStyle w:val="null3"/>
              <w:jc w:val="both"/>
            </w:pPr>
            <w:r>
              <w:rPr>
                <w:rFonts w:ascii="仿宋_GB2312" w:hAnsi="仿宋_GB2312" w:cs="仿宋_GB2312" w:eastAsia="仿宋_GB2312"/>
              </w:rPr>
              <w:t>(2)市场监管总局关于印发《关于进一步深入推进智慧监管的工作方案》的通知(国市监办发[2021]84号）</w:t>
            </w:r>
          </w:p>
          <w:p>
            <w:pPr>
              <w:pStyle w:val="null3"/>
              <w:jc w:val="both"/>
            </w:pPr>
            <w:r>
              <w:rPr>
                <w:rFonts w:ascii="仿宋_GB2312" w:hAnsi="仿宋_GB2312" w:cs="仿宋_GB2312" w:eastAsia="仿宋_GB2312"/>
              </w:rPr>
              <w:t>(3)市场监管总局办公厅关于加强政务信息系统国产密码应用工作的指导意见</w:t>
            </w:r>
          </w:p>
          <w:p>
            <w:pPr>
              <w:pStyle w:val="null3"/>
              <w:jc w:val="both"/>
            </w:pPr>
            <w:r>
              <w:rPr>
                <w:rFonts w:ascii="仿宋_GB2312" w:hAnsi="仿宋_GB2312" w:cs="仿宋_GB2312" w:eastAsia="仿宋_GB2312"/>
              </w:rPr>
              <w:t>(4)《市场监管总局关于加强信息化工作的指导意见》（国市监办发〔2021〕2号）</w:t>
            </w:r>
          </w:p>
          <w:p>
            <w:pPr>
              <w:pStyle w:val="null3"/>
              <w:jc w:val="both"/>
            </w:pPr>
            <w:r>
              <w:rPr>
                <w:rFonts w:ascii="仿宋_GB2312" w:hAnsi="仿宋_GB2312" w:cs="仿宋_GB2312" w:eastAsia="仿宋_GB2312"/>
              </w:rPr>
              <w:t>(5)市场监管总局关于印发《市场监管信息化标准化管理办法》的通知（国市监办发〔2021〕1号）</w:t>
            </w:r>
          </w:p>
          <w:p>
            <w:pPr>
              <w:pStyle w:val="null3"/>
              <w:jc w:val="both"/>
            </w:pPr>
            <w:r>
              <w:rPr>
                <w:rFonts w:ascii="仿宋_GB2312" w:hAnsi="仿宋_GB2312" w:cs="仿宋_GB2312" w:eastAsia="仿宋_GB2312"/>
              </w:rPr>
              <w:t>(6)《市场监管总局办公厅关于印发食品生产许可文书和食品生产许可证格式标准的通知》（市监食生〔2020〕18号）</w:t>
            </w:r>
          </w:p>
          <w:p>
            <w:pPr>
              <w:pStyle w:val="null3"/>
              <w:jc w:val="both"/>
            </w:pPr>
            <w:r>
              <w:rPr>
                <w:rFonts w:ascii="仿宋_GB2312" w:hAnsi="仿宋_GB2312" w:cs="仿宋_GB2312" w:eastAsia="仿宋_GB2312"/>
              </w:rPr>
              <w:t>(7)《市场监管总局关于贯彻落实《关于深化市场监管综合行政执法改革的指导意见》的通知（国市监稽〔2019〕47号）</w:t>
            </w:r>
          </w:p>
          <w:p>
            <w:pPr>
              <w:pStyle w:val="null3"/>
              <w:jc w:val="both"/>
            </w:pPr>
            <w:r>
              <w:rPr>
                <w:rFonts w:ascii="仿宋_GB2312" w:hAnsi="仿宋_GB2312" w:cs="仿宋_GB2312" w:eastAsia="仿宋_GB2312"/>
              </w:rPr>
              <w:t>(8)《市场监督管理行政许可程序暂行规定》（第16号令）</w:t>
            </w:r>
          </w:p>
          <w:p>
            <w:pPr>
              <w:pStyle w:val="null3"/>
              <w:jc w:val="both"/>
            </w:pPr>
            <w:r>
              <w:rPr>
                <w:rFonts w:ascii="仿宋_GB2312" w:hAnsi="仿宋_GB2312" w:cs="仿宋_GB2312" w:eastAsia="仿宋_GB2312"/>
              </w:rPr>
              <w:t>(9)《网络交易监督管理办法》（2021年3月15日国家市场监督管理总局令第37号公布）</w:t>
            </w:r>
          </w:p>
          <w:p>
            <w:pPr>
              <w:pStyle w:val="null3"/>
              <w:jc w:val="both"/>
            </w:pPr>
            <w:r>
              <w:rPr>
                <w:rFonts w:ascii="仿宋_GB2312" w:hAnsi="仿宋_GB2312" w:cs="仿宋_GB2312" w:eastAsia="仿宋_GB2312"/>
              </w:rPr>
              <w:t>(10)《市场监管总局关于大力开展质量基础信息平台项目的意见》（国市监质〔2020〕177号）</w:t>
            </w:r>
          </w:p>
          <w:p>
            <w:pPr>
              <w:pStyle w:val="null3"/>
              <w:jc w:val="both"/>
            </w:pPr>
            <w:r>
              <w:rPr>
                <w:rFonts w:ascii="仿宋_GB2312" w:hAnsi="仿宋_GB2312" w:cs="仿宋_GB2312" w:eastAsia="仿宋_GB2312"/>
              </w:rPr>
              <w:t>(11)《检验检测机构监督管理办法》（国家市场监督管理总局令 第39号）</w:t>
            </w:r>
          </w:p>
          <w:p>
            <w:pPr>
              <w:pStyle w:val="null3"/>
              <w:jc w:val="both"/>
            </w:pPr>
            <w:r>
              <w:rPr>
                <w:rFonts w:ascii="仿宋_GB2312" w:hAnsi="仿宋_GB2312" w:cs="仿宋_GB2312" w:eastAsia="仿宋_GB2312"/>
              </w:rPr>
              <w:t>(12)《市场监管总局关于大力开展质量基础信息平台项目的意见》（国市监质〔2020〕177号）</w:t>
            </w:r>
          </w:p>
          <w:p>
            <w:pPr>
              <w:pStyle w:val="null3"/>
              <w:jc w:val="both"/>
            </w:pPr>
            <w:r>
              <w:rPr>
                <w:rFonts w:ascii="仿宋_GB2312" w:hAnsi="仿宋_GB2312" w:cs="仿宋_GB2312" w:eastAsia="仿宋_GB2312"/>
              </w:rPr>
              <w:t>(13)市场监管总局办公厅关于《食品安全法实施条例》第81条适用有关事项的意见</w:t>
            </w:r>
          </w:p>
          <w:p>
            <w:pPr>
              <w:pStyle w:val="null3"/>
              <w:jc w:val="both"/>
            </w:pPr>
            <w:r>
              <w:rPr>
                <w:rFonts w:ascii="仿宋_GB2312" w:hAnsi="仿宋_GB2312" w:cs="仿宋_GB2312" w:eastAsia="仿宋_GB2312"/>
              </w:rPr>
              <w:t>(14)《市场监管总局办公厅关于印发食品生产许可文书和食品生产许可证格式标准的通知》</w:t>
            </w:r>
          </w:p>
          <w:p>
            <w:pPr>
              <w:pStyle w:val="null3"/>
              <w:jc w:val="both"/>
            </w:pPr>
            <w:r>
              <w:rPr>
                <w:rFonts w:ascii="仿宋_GB2312" w:hAnsi="仿宋_GB2312" w:cs="仿宋_GB2312" w:eastAsia="仿宋_GB2312"/>
              </w:rPr>
              <w:t>(15)陕西省数字政府建设“十四五”规划</w:t>
            </w:r>
          </w:p>
          <w:p>
            <w:pPr>
              <w:pStyle w:val="null3"/>
              <w:jc w:val="both"/>
            </w:pPr>
            <w:r>
              <w:rPr>
                <w:rFonts w:ascii="仿宋_GB2312" w:hAnsi="仿宋_GB2312" w:cs="仿宋_GB2312" w:eastAsia="仿宋_GB2312"/>
              </w:rPr>
              <w:t>(16)《中华人民共和国网络安全法》</w:t>
            </w:r>
          </w:p>
          <w:p>
            <w:pPr>
              <w:pStyle w:val="null3"/>
              <w:jc w:val="both"/>
            </w:pPr>
            <w:r>
              <w:rPr>
                <w:rFonts w:ascii="仿宋_GB2312" w:hAnsi="仿宋_GB2312" w:cs="仿宋_GB2312" w:eastAsia="仿宋_GB2312"/>
              </w:rPr>
              <w:t>(17)《中华人民共和国数据安全法》</w:t>
            </w:r>
          </w:p>
          <w:p>
            <w:pPr>
              <w:pStyle w:val="null3"/>
              <w:jc w:val="both"/>
            </w:pPr>
            <w:r>
              <w:rPr>
                <w:rFonts w:ascii="仿宋_GB2312" w:hAnsi="仿宋_GB2312" w:cs="仿宋_GB2312" w:eastAsia="仿宋_GB2312"/>
              </w:rPr>
              <w:t>(18)《中华人民共和国个人信息保护法》</w:t>
            </w:r>
          </w:p>
          <w:p>
            <w:pPr>
              <w:pStyle w:val="null3"/>
              <w:jc w:val="both"/>
            </w:pPr>
            <w:r>
              <w:rPr>
                <w:rFonts w:ascii="仿宋_GB2312" w:hAnsi="仿宋_GB2312" w:cs="仿宋_GB2312" w:eastAsia="仿宋_GB2312"/>
              </w:rPr>
              <w:t>(19)《关键信息基础设施安全保护条例》</w:t>
            </w:r>
          </w:p>
          <w:p>
            <w:pPr>
              <w:pStyle w:val="null3"/>
              <w:jc w:val="both"/>
            </w:pPr>
            <w:r>
              <w:rPr>
                <w:rFonts w:ascii="仿宋_GB2312" w:hAnsi="仿宋_GB2312" w:cs="仿宋_GB2312" w:eastAsia="仿宋_GB2312"/>
              </w:rPr>
              <w:t>(20)《信息安全技术 网络安全等级保护基本要求》GB/T 22239-2019</w:t>
            </w:r>
          </w:p>
          <w:p>
            <w:pPr>
              <w:pStyle w:val="null3"/>
              <w:jc w:val="both"/>
            </w:pPr>
            <w:r>
              <w:rPr>
                <w:rFonts w:ascii="仿宋_GB2312" w:hAnsi="仿宋_GB2312" w:cs="仿宋_GB2312" w:eastAsia="仿宋_GB2312"/>
              </w:rPr>
              <w:t>(21)《中华人民共和国计算机信息系统安全保护条例》（国务院[1994] 147号）</w:t>
            </w:r>
          </w:p>
          <w:p>
            <w:pPr>
              <w:pStyle w:val="null3"/>
              <w:jc w:val="both"/>
            </w:pPr>
            <w:r>
              <w:rPr>
                <w:rFonts w:ascii="仿宋_GB2312" w:hAnsi="仿宋_GB2312" w:cs="仿宋_GB2312" w:eastAsia="仿宋_GB2312"/>
              </w:rPr>
              <w:t>(22)《国家信息化领导小组关于加强信息安全保障工作的意见》（申发办[2003] 127号）</w:t>
            </w:r>
          </w:p>
          <w:p>
            <w:pPr>
              <w:pStyle w:val="null3"/>
              <w:jc w:val="both"/>
            </w:pPr>
            <w:r>
              <w:rPr>
                <w:rFonts w:ascii="仿宋_GB2312" w:hAnsi="仿宋_GB2312" w:cs="仿宋_GB2312" w:eastAsia="仿宋_GB2312"/>
              </w:rPr>
              <w:t>(23)《信息安全等级保护管理办法》（公通字[2007] 43号）</w:t>
            </w:r>
          </w:p>
          <w:p>
            <w:pPr>
              <w:pStyle w:val="null3"/>
              <w:jc w:val="both"/>
            </w:pPr>
            <w:r>
              <w:rPr>
                <w:rFonts w:ascii="仿宋_GB2312" w:hAnsi="仿宋_GB2312" w:cs="仿宋_GB2312" w:eastAsia="仿宋_GB2312"/>
              </w:rPr>
              <w:t>(24)《网络安全等级保护条例》</w:t>
            </w:r>
          </w:p>
          <w:p>
            <w:pPr>
              <w:pStyle w:val="null3"/>
              <w:jc w:val="both"/>
            </w:pPr>
            <w:r>
              <w:rPr>
                <w:rFonts w:ascii="仿宋_GB2312" w:hAnsi="仿宋_GB2312" w:cs="仿宋_GB2312" w:eastAsia="仿宋_GB2312"/>
              </w:rPr>
              <w:t>(25)《计算机信息系统安全保护等级划分准则》GB 17859-1999（上位标准）</w:t>
            </w:r>
          </w:p>
          <w:p>
            <w:pPr>
              <w:pStyle w:val="null3"/>
              <w:jc w:val="both"/>
            </w:pPr>
            <w:r>
              <w:rPr>
                <w:rFonts w:ascii="仿宋_GB2312" w:hAnsi="仿宋_GB2312" w:cs="仿宋_GB2312" w:eastAsia="仿宋_GB2312"/>
              </w:rPr>
              <w:t>(26)《信息安全技术 网络安全等级保护基本要求》GB/T 22239-2019</w:t>
            </w:r>
          </w:p>
          <w:p>
            <w:pPr>
              <w:pStyle w:val="null3"/>
              <w:jc w:val="both"/>
            </w:pPr>
            <w:r>
              <w:rPr>
                <w:rFonts w:ascii="仿宋_GB2312" w:hAnsi="仿宋_GB2312" w:cs="仿宋_GB2312" w:eastAsia="仿宋_GB2312"/>
              </w:rPr>
              <w:t>(27)《陕西省省级政务信息化项目建设管理办法 （暂行）》（陕政办发〔2022〕19号）</w:t>
            </w:r>
          </w:p>
          <w:p>
            <w:pPr>
              <w:pStyle w:val="null3"/>
              <w:jc w:val="both"/>
            </w:pPr>
            <w:r>
              <w:rPr>
                <w:rFonts w:ascii="仿宋_GB2312" w:hAnsi="仿宋_GB2312" w:cs="仿宋_GB2312" w:eastAsia="仿宋_GB2312"/>
              </w:rPr>
              <w:t>(28)按照陕西省数据和政务服务局下发的《省级政务信息化项目技术规范》等文件编制。</w:t>
            </w:r>
          </w:p>
          <w:p>
            <w:pPr>
              <w:pStyle w:val="null3"/>
              <w:jc w:val="both"/>
            </w:pPr>
            <w:r>
              <w:rPr>
                <w:rFonts w:ascii="仿宋_GB2312" w:hAnsi="仿宋_GB2312" w:cs="仿宋_GB2312" w:eastAsia="仿宋_GB2312"/>
              </w:rPr>
              <w:t>二、项目服务内容</w:t>
            </w:r>
          </w:p>
          <w:p>
            <w:pPr>
              <w:pStyle w:val="null3"/>
              <w:jc w:val="both"/>
            </w:pPr>
            <w:r>
              <w:rPr>
                <w:rFonts w:ascii="仿宋_GB2312" w:hAnsi="仿宋_GB2312" w:cs="仿宋_GB2312" w:eastAsia="仿宋_GB2312"/>
              </w:rPr>
              <w:t>2.1信息化项目设计咨询服务</w:t>
            </w:r>
          </w:p>
          <w:p>
            <w:pPr>
              <w:pStyle w:val="null3"/>
              <w:jc w:val="both"/>
            </w:pPr>
            <w:r>
              <w:rPr>
                <w:rFonts w:ascii="仿宋_GB2312" w:hAnsi="仿宋_GB2312" w:cs="仿宋_GB2312" w:eastAsia="仿宋_GB2312"/>
              </w:rPr>
              <w:t>2.1.1项目方案编制</w:t>
            </w:r>
          </w:p>
          <w:p>
            <w:pPr>
              <w:pStyle w:val="null3"/>
              <w:jc w:val="both"/>
            </w:pPr>
            <w:r>
              <w:rPr>
                <w:rFonts w:ascii="仿宋_GB2312" w:hAnsi="仿宋_GB2312" w:cs="仿宋_GB2312" w:eastAsia="仿宋_GB2312"/>
              </w:rPr>
              <w:t>2.1.1.1前期准备阶段</w:t>
            </w:r>
          </w:p>
          <w:p>
            <w:pPr>
              <w:pStyle w:val="null3"/>
              <w:jc w:val="both"/>
            </w:pPr>
            <w:r>
              <w:rPr>
                <w:rFonts w:ascii="仿宋_GB2312" w:hAnsi="仿宋_GB2312" w:cs="仿宋_GB2312" w:eastAsia="仿宋_GB2312"/>
              </w:rPr>
              <w:t>（1）组织项目团队，汇报工作计划、人员安排与协调问题等事宜。</w:t>
            </w:r>
          </w:p>
          <w:p>
            <w:pPr>
              <w:pStyle w:val="null3"/>
              <w:jc w:val="both"/>
            </w:pPr>
            <w:r>
              <w:rPr>
                <w:rFonts w:ascii="仿宋_GB2312" w:hAnsi="仿宋_GB2312" w:cs="仿宋_GB2312" w:eastAsia="仿宋_GB2312"/>
              </w:rPr>
              <w:t>（2）收集相关政策文件，听取领导专家思路建议，并收集国内优秀项目作参考，总结经验和亮点。</w:t>
            </w:r>
          </w:p>
          <w:p>
            <w:pPr>
              <w:pStyle w:val="null3"/>
              <w:jc w:val="both"/>
            </w:pPr>
            <w:r>
              <w:rPr>
                <w:rFonts w:ascii="仿宋_GB2312" w:hAnsi="仿宋_GB2312" w:cs="仿宋_GB2312" w:eastAsia="仿宋_GB2312"/>
              </w:rPr>
              <w:t>2.1.1.2调研及需求分析阶段</w:t>
            </w:r>
          </w:p>
          <w:p>
            <w:pPr>
              <w:pStyle w:val="null3"/>
              <w:jc w:val="both"/>
            </w:pPr>
            <w:r>
              <w:rPr>
                <w:rFonts w:ascii="仿宋_GB2312" w:hAnsi="仿宋_GB2312" w:cs="仿宋_GB2312" w:eastAsia="仿宋_GB2312"/>
              </w:rPr>
              <w:t>（1）调研方式：</w:t>
            </w:r>
          </w:p>
          <w:p>
            <w:pPr>
              <w:pStyle w:val="null3"/>
              <w:jc w:val="both"/>
            </w:pPr>
            <w:r>
              <w:rPr>
                <w:rFonts w:ascii="仿宋_GB2312" w:hAnsi="仿宋_GB2312" w:cs="仿宋_GB2312" w:eastAsia="仿宋_GB2312"/>
              </w:rPr>
              <w:t>以调研表、调研提纲的方式为主，针对重点部门或领导专家采取现场调研的方式。现场调研主要包括访谈、专题会议等。</w:t>
            </w:r>
          </w:p>
          <w:p>
            <w:pPr>
              <w:pStyle w:val="null3"/>
              <w:jc w:val="both"/>
            </w:pPr>
            <w:r>
              <w:rPr>
                <w:rFonts w:ascii="仿宋_GB2312" w:hAnsi="仿宋_GB2312" w:cs="仿宋_GB2312" w:eastAsia="仿宋_GB2312"/>
              </w:rPr>
              <w:t>（2）调研计划：</w:t>
            </w:r>
          </w:p>
          <w:p>
            <w:pPr>
              <w:pStyle w:val="null3"/>
              <w:jc w:val="both"/>
            </w:pPr>
            <w:r>
              <w:rPr>
                <w:rFonts w:ascii="仿宋_GB2312" w:hAnsi="仿宋_GB2312" w:cs="仿宋_GB2312" w:eastAsia="仿宋_GB2312"/>
              </w:rPr>
              <w:t>1）调研单位信息化现状、组织架构、存在的困难及下一步计划等，具体内容有：</w:t>
            </w:r>
          </w:p>
          <w:p>
            <w:pPr>
              <w:pStyle w:val="null3"/>
              <w:jc w:val="both"/>
            </w:pPr>
            <w:r>
              <w:rPr>
                <w:rFonts w:ascii="仿宋_GB2312" w:hAnsi="仿宋_GB2312" w:cs="仿宋_GB2312" w:eastAsia="仿宋_GB2312"/>
              </w:rPr>
              <w:t>部门机房、云平台、政务网络、服务器、网络及安全设备等政务信息化基础设施的建设及配备情况；</w:t>
            </w:r>
          </w:p>
          <w:p>
            <w:pPr>
              <w:pStyle w:val="null3"/>
              <w:jc w:val="both"/>
            </w:pPr>
            <w:r>
              <w:rPr>
                <w:rFonts w:ascii="仿宋_GB2312" w:hAnsi="仿宋_GB2312" w:cs="仿宋_GB2312" w:eastAsia="仿宋_GB2312"/>
              </w:rPr>
              <w:t>部门已建、在建和拟建信息化应用系统的基本情况，包括系统数量、名称、功能、使用范围、使用频度、审批部门、审批时间、经费来源、承建和运维单位、使用网络、是否清理等；</w:t>
            </w:r>
          </w:p>
          <w:p>
            <w:pPr>
              <w:pStyle w:val="null3"/>
              <w:jc w:val="both"/>
            </w:pPr>
            <w:r>
              <w:rPr>
                <w:rFonts w:ascii="仿宋_GB2312" w:hAnsi="仿宋_GB2312" w:cs="仿宋_GB2312" w:eastAsia="仿宋_GB2312"/>
              </w:rPr>
              <w:t>部门政务信息资源数据库建设及政务数据资源共享交换情况；</w:t>
            </w:r>
          </w:p>
          <w:p>
            <w:pPr>
              <w:pStyle w:val="null3"/>
              <w:jc w:val="both"/>
            </w:pPr>
            <w:r>
              <w:rPr>
                <w:rFonts w:ascii="仿宋_GB2312" w:hAnsi="仿宋_GB2312" w:cs="仿宋_GB2312" w:eastAsia="仿宋_GB2312"/>
              </w:rPr>
              <w:t>部门网络信息安全保障情况；</w:t>
            </w:r>
          </w:p>
          <w:p>
            <w:pPr>
              <w:pStyle w:val="null3"/>
              <w:jc w:val="both"/>
            </w:pPr>
            <w:r>
              <w:rPr>
                <w:rFonts w:ascii="仿宋_GB2312" w:hAnsi="仿宋_GB2312" w:cs="仿宋_GB2312" w:eastAsia="仿宋_GB2312"/>
              </w:rPr>
              <w:t>部门信息化机构设置、人员编制及相关管理制度建设情况；</w:t>
            </w:r>
          </w:p>
          <w:p>
            <w:pPr>
              <w:pStyle w:val="null3"/>
              <w:jc w:val="both"/>
            </w:pPr>
            <w:r>
              <w:rPr>
                <w:rFonts w:ascii="仿宋_GB2312" w:hAnsi="仿宋_GB2312" w:cs="仿宋_GB2312" w:eastAsia="仿宋_GB2312"/>
              </w:rPr>
              <w:t>部门政务信息化建设过程中存在的困难问题及下一步工作计划等。</w:t>
            </w:r>
          </w:p>
          <w:p>
            <w:pPr>
              <w:pStyle w:val="null3"/>
              <w:jc w:val="both"/>
            </w:pPr>
            <w:r>
              <w:rPr>
                <w:rFonts w:ascii="仿宋_GB2312" w:hAnsi="仿宋_GB2312" w:cs="仿宋_GB2312" w:eastAsia="仿宋_GB2312"/>
              </w:rPr>
              <w:t>2）梳理调研基本情况，对管理层领导进行访谈，了解领导层要求；同时结合领导层需求，对现状情况进行进一步剖析和调研。具体步骤如下：</w:t>
            </w:r>
          </w:p>
          <w:p>
            <w:pPr>
              <w:pStyle w:val="null3"/>
              <w:jc w:val="both"/>
            </w:pPr>
            <w:r>
              <w:rPr>
                <w:rFonts w:ascii="仿宋_GB2312" w:hAnsi="仿宋_GB2312" w:cs="仿宋_GB2312" w:eastAsia="仿宋_GB2312"/>
              </w:rPr>
              <w:t>针对未调研、调研不充分或方向有偏离的部门，进行再次调研，确认需求，资料收集。</w:t>
            </w:r>
          </w:p>
          <w:p>
            <w:pPr>
              <w:pStyle w:val="null3"/>
              <w:jc w:val="both"/>
            </w:pPr>
            <w:r>
              <w:rPr>
                <w:rFonts w:ascii="仿宋_GB2312" w:hAnsi="仿宋_GB2312" w:cs="仿宋_GB2312" w:eastAsia="仿宋_GB2312"/>
              </w:rPr>
              <w:t>针对领导层进行访谈，对单位的定位、管理的方向、实现的目标进行深入了解，站在领导层的角度，从全局的高度对数字政府建设进行深入理解。</w:t>
            </w:r>
          </w:p>
          <w:p>
            <w:pPr>
              <w:pStyle w:val="null3"/>
              <w:jc w:val="both"/>
            </w:pPr>
            <w:r>
              <w:rPr>
                <w:rFonts w:ascii="仿宋_GB2312" w:hAnsi="仿宋_GB2312" w:cs="仿宋_GB2312" w:eastAsia="仿宋_GB2312"/>
              </w:rPr>
              <w:t>调研结果，汇总调研情况，对调研结果进行分析总结。结合调研的内容，确定项目框架。</w:t>
            </w:r>
          </w:p>
          <w:p>
            <w:pPr>
              <w:pStyle w:val="null3"/>
              <w:jc w:val="both"/>
            </w:pPr>
            <w:r>
              <w:rPr>
                <w:rFonts w:ascii="仿宋_GB2312" w:hAnsi="仿宋_GB2312" w:cs="仿宋_GB2312" w:eastAsia="仿宋_GB2312"/>
              </w:rPr>
              <w:t>（3）汇总调研资料和数据，编制项目调研报告，作为具体项目编制依据。</w:t>
            </w:r>
          </w:p>
          <w:p>
            <w:pPr>
              <w:pStyle w:val="null3"/>
              <w:jc w:val="both"/>
            </w:pPr>
            <w:r>
              <w:rPr>
                <w:rFonts w:ascii="仿宋_GB2312" w:hAnsi="仿宋_GB2312" w:cs="仿宋_GB2312" w:eastAsia="仿宋_GB2312"/>
              </w:rPr>
              <w:t>2.1.1.3设计方案编制</w:t>
            </w:r>
          </w:p>
          <w:p>
            <w:pPr>
              <w:pStyle w:val="null3"/>
              <w:jc w:val="both"/>
            </w:pPr>
            <w:r>
              <w:rPr>
                <w:rFonts w:ascii="仿宋_GB2312" w:hAnsi="仿宋_GB2312" w:cs="仿宋_GB2312" w:eastAsia="仿宋_GB2312"/>
              </w:rPr>
              <w:t>（1）按照国家的法律、法规、行业规范及甲方相关文件的要求，本着客观、公正、科学的原则，按时按质完成计方案编制工作。</w:t>
            </w:r>
          </w:p>
          <w:p>
            <w:pPr>
              <w:pStyle w:val="null3"/>
              <w:jc w:val="both"/>
            </w:pPr>
            <w:r>
              <w:rPr>
                <w:rFonts w:ascii="仿宋_GB2312" w:hAnsi="仿宋_GB2312" w:cs="仿宋_GB2312" w:eastAsia="仿宋_GB2312"/>
              </w:rPr>
              <w:t>（2）协助开展项目立项申报工作，编制汇报材料、向立项组织部门或者评审专家汇报和答辩、根据评审意见修订完善方案；</w:t>
            </w:r>
          </w:p>
          <w:p>
            <w:pPr>
              <w:pStyle w:val="null3"/>
              <w:jc w:val="both"/>
            </w:pPr>
            <w:r>
              <w:rPr>
                <w:rFonts w:ascii="仿宋_GB2312" w:hAnsi="仿宋_GB2312" w:cs="仿宋_GB2312" w:eastAsia="仿宋_GB2312"/>
              </w:rPr>
              <w:t>（3）协助甲方编写部门的信息化项目申报指南、申报通知等，接收相关申报文档，进行统一汇总跟踪。</w:t>
            </w:r>
          </w:p>
          <w:p>
            <w:pPr>
              <w:pStyle w:val="null3"/>
              <w:jc w:val="both"/>
            </w:pPr>
            <w:r>
              <w:rPr>
                <w:rFonts w:ascii="仿宋_GB2312" w:hAnsi="仿宋_GB2312" w:cs="仿宋_GB2312" w:eastAsia="仿宋_GB2312"/>
              </w:rPr>
              <w:t>2.1.1.4项目评审</w:t>
            </w:r>
          </w:p>
          <w:p>
            <w:pPr>
              <w:pStyle w:val="null3"/>
              <w:jc w:val="both"/>
            </w:pPr>
            <w:r>
              <w:rPr>
                <w:rFonts w:ascii="仿宋_GB2312" w:hAnsi="仿宋_GB2312" w:cs="仿宋_GB2312" w:eastAsia="仿宋_GB2312"/>
              </w:rPr>
              <w:t>（1）汇总内审：组织内部专家进行评审，根据评审意见进行修改。</w:t>
            </w:r>
          </w:p>
          <w:p>
            <w:pPr>
              <w:pStyle w:val="null3"/>
              <w:jc w:val="both"/>
            </w:pPr>
            <w:r>
              <w:rPr>
                <w:rFonts w:ascii="仿宋_GB2312" w:hAnsi="仿宋_GB2312" w:cs="仿宋_GB2312" w:eastAsia="仿宋_GB2312"/>
              </w:rPr>
              <w:t>（2）专家评审：组织外部专家对方案进行评审，根据评审意见进行修改。</w:t>
            </w:r>
          </w:p>
          <w:p>
            <w:pPr>
              <w:pStyle w:val="null3"/>
              <w:jc w:val="both"/>
            </w:pPr>
            <w:r>
              <w:rPr>
                <w:rFonts w:ascii="仿宋_GB2312" w:hAnsi="仿宋_GB2312" w:cs="仿宋_GB2312" w:eastAsia="仿宋_GB2312"/>
              </w:rPr>
              <w:t>（3）修改定稿出版：输出最终成果并提交上报。</w:t>
            </w:r>
          </w:p>
          <w:p>
            <w:pPr>
              <w:pStyle w:val="null3"/>
              <w:jc w:val="both"/>
            </w:pPr>
            <w:r>
              <w:rPr>
                <w:rFonts w:ascii="仿宋_GB2312" w:hAnsi="仿宋_GB2312" w:cs="仿宋_GB2312" w:eastAsia="仿宋_GB2312"/>
              </w:rPr>
              <w:t>2.1.1.5项目实施技术支撑</w:t>
            </w:r>
          </w:p>
          <w:p>
            <w:pPr>
              <w:pStyle w:val="null3"/>
              <w:jc w:val="both"/>
            </w:pPr>
            <w:r>
              <w:rPr>
                <w:rFonts w:ascii="仿宋_GB2312" w:hAnsi="仿宋_GB2312" w:cs="仿宋_GB2312" w:eastAsia="仿宋_GB2312"/>
              </w:rPr>
              <w:t>在合同期间，对正在实施的项目提供设计配合服务，包括并不限于设计技术交底、现场技术讨论交流等服务。</w:t>
            </w:r>
          </w:p>
          <w:p>
            <w:pPr>
              <w:pStyle w:val="null3"/>
              <w:jc w:val="both"/>
            </w:pPr>
            <w:r>
              <w:rPr>
                <w:rFonts w:ascii="仿宋_GB2312" w:hAnsi="仿宋_GB2312" w:cs="仿宋_GB2312" w:eastAsia="仿宋_GB2312"/>
              </w:rPr>
              <w:t>2.1.1.6项目验收技术支撑</w:t>
            </w:r>
          </w:p>
          <w:p>
            <w:pPr>
              <w:pStyle w:val="null3"/>
              <w:jc w:val="both"/>
            </w:pPr>
            <w:r>
              <w:rPr>
                <w:rFonts w:ascii="仿宋_GB2312" w:hAnsi="仿宋_GB2312" w:cs="仿宋_GB2312" w:eastAsia="仿宋_GB2312"/>
              </w:rPr>
              <w:t>在合同期间，提供参与验收、试运行、竣工验收等服务。</w:t>
            </w:r>
          </w:p>
          <w:p>
            <w:pPr>
              <w:pStyle w:val="null3"/>
              <w:jc w:val="both"/>
            </w:pPr>
            <w:r>
              <w:rPr>
                <w:rFonts w:ascii="仿宋_GB2312" w:hAnsi="仿宋_GB2312" w:cs="仿宋_GB2312" w:eastAsia="仿宋_GB2312"/>
              </w:rPr>
              <w:t>2.1.2信息化项目咨询服务</w:t>
            </w:r>
          </w:p>
          <w:p>
            <w:pPr>
              <w:pStyle w:val="null3"/>
              <w:jc w:val="both"/>
            </w:pPr>
            <w:r>
              <w:rPr>
                <w:rFonts w:ascii="仿宋_GB2312" w:hAnsi="仿宋_GB2312" w:cs="仿宋_GB2312" w:eastAsia="仿宋_GB2312"/>
              </w:rPr>
              <w:t>2.1.2.1项目审核</w:t>
            </w:r>
          </w:p>
          <w:p>
            <w:pPr>
              <w:pStyle w:val="null3"/>
              <w:jc w:val="both"/>
            </w:pPr>
            <w:r>
              <w:rPr>
                <w:rFonts w:ascii="仿宋_GB2312" w:hAnsi="仿宋_GB2312" w:cs="仿宋_GB2312" w:eastAsia="仿宋_GB2312"/>
              </w:rPr>
              <w:t>（1）形式审核</w:t>
            </w:r>
          </w:p>
          <w:p>
            <w:pPr>
              <w:pStyle w:val="null3"/>
              <w:jc w:val="both"/>
            </w:pPr>
            <w:r>
              <w:rPr>
                <w:rFonts w:ascii="仿宋_GB2312" w:hAnsi="仿宋_GB2312" w:cs="仿宋_GB2312" w:eastAsia="仿宋_GB2312"/>
              </w:rPr>
              <w:t>负责按照数字政府改革建设和甲方的相关要求对立项方案进行形式审核。若形式审核不通过，视情况通过以下两种方式处理。一是若存在立项材料不齐、立项方案要素不全、属于非数字政府信息化项目的，应于3个工作日内反馈给甲方。二是若立项方案存在重大问题，如未做好统筹规划、存在碎片化问题，未与存量系统做好整合对接、存在重复建设问题，未利用数字政府公共类服务支撑能力问题，以及未描述数据需求、产生和共享情况问题等，应于5个工作日内向甲方反馈意见。</w:t>
            </w:r>
          </w:p>
          <w:p>
            <w:pPr>
              <w:pStyle w:val="null3"/>
              <w:jc w:val="both"/>
            </w:pPr>
            <w:r>
              <w:rPr>
                <w:rFonts w:ascii="仿宋_GB2312" w:hAnsi="仿宋_GB2312" w:cs="仿宋_GB2312" w:eastAsia="仿宋_GB2312"/>
              </w:rPr>
              <w:t>（2）方案初审</w:t>
            </w:r>
          </w:p>
          <w:p>
            <w:pPr>
              <w:pStyle w:val="null3"/>
              <w:jc w:val="both"/>
            </w:pPr>
            <w:r>
              <w:rPr>
                <w:rFonts w:ascii="仿宋_GB2312" w:hAnsi="仿宋_GB2312" w:cs="仿宋_GB2312" w:eastAsia="仿宋_GB2312"/>
              </w:rPr>
              <w:t>形式审查通过后，根据数字政府改革建设和甲方的相关要求开展方案初审工作，并在甲方要求的时限内出具初步审核意见（含书面或电子形式，以甲方实际要求为准）。保证初步审核意见的完整性、科学性、时效性和合规性。对于申报单位按照咨询单位及局内意见修改后重新报送的项目立项方案，对项目立项方案进行重新审核并出具意见，直至项目立项方案通过立项初审。</w:t>
            </w:r>
          </w:p>
          <w:p>
            <w:pPr>
              <w:pStyle w:val="null3"/>
              <w:jc w:val="both"/>
            </w:pPr>
            <w:r>
              <w:rPr>
                <w:rFonts w:ascii="仿宋_GB2312" w:hAnsi="仿宋_GB2312" w:cs="仿宋_GB2312" w:eastAsia="仿宋_GB2312"/>
              </w:rPr>
              <w:t>（3）规划符合性审核</w:t>
            </w:r>
          </w:p>
          <w:p>
            <w:pPr>
              <w:pStyle w:val="null3"/>
              <w:jc w:val="both"/>
            </w:pPr>
            <w:r>
              <w:rPr>
                <w:rFonts w:ascii="仿宋_GB2312" w:hAnsi="仿宋_GB2312" w:cs="仿宋_GB2312" w:eastAsia="仿宋_GB2312"/>
              </w:rPr>
              <w:t>所有立项单位的非涉密项目经符合性审核通过后，乙方根据数字政府改革建设相关政策规划和甲方相关要求开展规划符合性审核工作。乙方对我省数字政府建设相关规划，以及甲方指定的其他省级政务信息化政策与规划文件有全面、深入的理解，在审核中确保立项方案的符合政策方向与规划要求，保证审核意见的完整性、科学性、时效性和合规性，在审核工作中促进信息技术与政府治理的深度融合。</w:t>
            </w:r>
          </w:p>
          <w:p>
            <w:pPr>
              <w:pStyle w:val="null3"/>
              <w:jc w:val="both"/>
            </w:pPr>
            <w:r>
              <w:rPr>
                <w:rFonts w:ascii="仿宋_GB2312" w:hAnsi="仿宋_GB2312" w:cs="仿宋_GB2312" w:eastAsia="仿宋_GB2312"/>
              </w:rPr>
              <w:t>2.1.2.2项目评估</w:t>
            </w:r>
          </w:p>
          <w:p>
            <w:pPr>
              <w:pStyle w:val="null3"/>
              <w:jc w:val="both"/>
            </w:pPr>
            <w:r>
              <w:rPr>
                <w:rFonts w:ascii="仿宋_GB2312" w:hAnsi="仿宋_GB2312" w:cs="仿宋_GB2312" w:eastAsia="仿宋_GB2312"/>
              </w:rPr>
              <w:t>(1)项目建设的必要性</w:t>
            </w:r>
          </w:p>
          <w:p>
            <w:pPr>
              <w:pStyle w:val="null3"/>
              <w:jc w:val="both"/>
            </w:pPr>
            <w:r>
              <w:rPr>
                <w:rFonts w:ascii="仿宋_GB2312" w:hAnsi="仿宋_GB2312" w:cs="仿宋_GB2312" w:eastAsia="仿宋_GB2312"/>
              </w:rPr>
              <w:t>分析拟建项目是否符合国家省市地方信息化战略，是否符合电子政务建设的方针政策及发展规划。从实际情况出发，分析项目是否符合实际需求，是否符合预定实现的目标，对项目的必要性提出具体意见。</w:t>
            </w:r>
          </w:p>
          <w:p>
            <w:pPr>
              <w:pStyle w:val="null3"/>
              <w:jc w:val="both"/>
            </w:pPr>
            <w:r>
              <w:rPr>
                <w:rFonts w:ascii="仿宋_GB2312" w:hAnsi="仿宋_GB2312" w:cs="仿宋_GB2312" w:eastAsia="仿宋_GB2312"/>
              </w:rPr>
              <w:t>(2)项目需求分析的正确性、完整性和经济性</w:t>
            </w:r>
          </w:p>
          <w:p>
            <w:pPr>
              <w:pStyle w:val="null3"/>
              <w:jc w:val="both"/>
            </w:pPr>
            <w:r>
              <w:rPr>
                <w:rFonts w:ascii="仿宋_GB2312" w:hAnsi="仿宋_GB2312" w:cs="仿宋_GB2312" w:eastAsia="仿宋_GB2312"/>
              </w:rPr>
              <w:t>1)分析调研材料是否充分，信息化现状分析是否客观全面，业务需求分析是否清晰合理；</w:t>
            </w:r>
          </w:p>
          <w:p>
            <w:pPr>
              <w:pStyle w:val="null3"/>
              <w:jc w:val="both"/>
            </w:pPr>
            <w:r>
              <w:rPr>
                <w:rFonts w:ascii="仿宋_GB2312" w:hAnsi="仿宋_GB2312" w:cs="仿宋_GB2312" w:eastAsia="仿宋_GB2312"/>
              </w:rPr>
              <w:t>2)分析项目目标是否明确、清晰、合理，是否达到相应绩效目标；</w:t>
            </w:r>
          </w:p>
          <w:p>
            <w:pPr>
              <w:pStyle w:val="null3"/>
              <w:jc w:val="both"/>
            </w:pPr>
            <w:r>
              <w:rPr>
                <w:rFonts w:ascii="仿宋_GB2312" w:hAnsi="仿宋_GB2312" w:cs="仿宋_GB2312" w:eastAsia="仿宋_GB2312"/>
              </w:rPr>
              <w:t>3)分析项目的功能需求是否明确合理，是否能够满足使用需求；</w:t>
            </w:r>
          </w:p>
          <w:p>
            <w:pPr>
              <w:pStyle w:val="null3"/>
              <w:jc w:val="both"/>
            </w:pPr>
            <w:r>
              <w:rPr>
                <w:rFonts w:ascii="仿宋_GB2312" w:hAnsi="仿宋_GB2312" w:cs="仿宋_GB2312" w:eastAsia="仿宋_GB2312"/>
              </w:rPr>
              <w:t>4)分析项目的规模是否准确、有依据，是否经济可行。</w:t>
            </w:r>
          </w:p>
          <w:p>
            <w:pPr>
              <w:pStyle w:val="null3"/>
              <w:jc w:val="both"/>
            </w:pPr>
            <w:r>
              <w:rPr>
                <w:rFonts w:ascii="仿宋_GB2312" w:hAnsi="仿宋_GB2312" w:cs="仿宋_GB2312" w:eastAsia="仿宋_GB2312"/>
              </w:rPr>
              <w:t>(3)项目技术方案的适用性、先进性和经济性</w:t>
            </w:r>
          </w:p>
          <w:p>
            <w:pPr>
              <w:pStyle w:val="null3"/>
              <w:jc w:val="both"/>
            </w:pPr>
            <w:r>
              <w:rPr>
                <w:rFonts w:ascii="仿宋_GB2312" w:hAnsi="仿宋_GB2312" w:cs="仿宋_GB2312" w:eastAsia="仿宋_GB2312"/>
              </w:rPr>
              <w:t>1)分析项目的总体建设方案架构是否清晰合理，各分期建设目标和内容是否清晰合理；</w:t>
            </w:r>
          </w:p>
          <w:p>
            <w:pPr>
              <w:pStyle w:val="null3"/>
              <w:jc w:val="both"/>
            </w:pPr>
            <w:r>
              <w:rPr>
                <w:rFonts w:ascii="仿宋_GB2312" w:hAnsi="仿宋_GB2312" w:cs="仿宋_GB2312" w:eastAsia="仿宋_GB2312"/>
              </w:rPr>
              <w:t>2)分析项目的本期建设方案功能架构是否能够满足业务需求，建设理念是否满足国家和行业标准；</w:t>
            </w:r>
          </w:p>
          <w:p>
            <w:pPr>
              <w:pStyle w:val="null3"/>
              <w:jc w:val="both"/>
            </w:pPr>
            <w:r>
              <w:rPr>
                <w:rFonts w:ascii="仿宋_GB2312" w:hAnsi="仿宋_GB2312" w:cs="仿宋_GB2312" w:eastAsia="仿宋_GB2312"/>
              </w:rPr>
              <w:t>3)分析项目的建设方案是否满足环保、节能、消防、职业安全和卫生方面要求。</w:t>
            </w:r>
          </w:p>
          <w:p>
            <w:pPr>
              <w:pStyle w:val="null3"/>
              <w:jc w:val="both"/>
            </w:pPr>
            <w:r>
              <w:rPr>
                <w:rFonts w:ascii="仿宋_GB2312" w:hAnsi="仿宋_GB2312" w:cs="仿宋_GB2312" w:eastAsia="仿宋_GB2312"/>
              </w:rPr>
              <w:t>(4)软硬件选型方案的合理性</w:t>
            </w:r>
          </w:p>
          <w:p>
            <w:pPr>
              <w:pStyle w:val="null3"/>
              <w:jc w:val="both"/>
            </w:pPr>
            <w:r>
              <w:rPr>
                <w:rFonts w:ascii="仿宋_GB2312" w:hAnsi="仿宋_GB2312" w:cs="仿宋_GB2312" w:eastAsia="仿宋_GB2312"/>
              </w:rPr>
              <w:t>主要分析软硬件的配置是否合理，能否满足项目需求。</w:t>
            </w:r>
          </w:p>
          <w:p>
            <w:pPr>
              <w:pStyle w:val="null3"/>
              <w:jc w:val="both"/>
            </w:pPr>
            <w:r>
              <w:rPr>
                <w:rFonts w:ascii="仿宋_GB2312" w:hAnsi="仿宋_GB2312" w:cs="仿宋_GB2312" w:eastAsia="仿宋_GB2312"/>
              </w:rPr>
              <w:t>2.1.2.3组织专家评审</w:t>
            </w:r>
          </w:p>
          <w:p>
            <w:pPr>
              <w:pStyle w:val="null3"/>
              <w:jc w:val="both"/>
            </w:pPr>
            <w:r>
              <w:rPr>
                <w:rFonts w:ascii="仿宋_GB2312" w:hAnsi="仿宋_GB2312" w:cs="仿宋_GB2312" w:eastAsia="仿宋_GB2312"/>
              </w:rPr>
              <w:t>按照甲方要求和工作安排，协助甲方完成专家筛选、联系、协调及会议组织等工作。</w:t>
            </w:r>
          </w:p>
          <w:p>
            <w:pPr>
              <w:pStyle w:val="null3"/>
              <w:jc w:val="both"/>
            </w:pPr>
            <w:r>
              <w:rPr>
                <w:rFonts w:ascii="仿宋_GB2312" w:hAnsi="仿宋_GB2312" w:cs="仿宋_GB2312" w:eastAsia="仿宋_GB2312"/>
              </w:rPr>
              <w:t>（1）在组织专家评审前，首先需要明确评审的目标和范围。目标是指通过评审要达到的预期效果，例如评估项目的可行性、技术方案的科学性等。范围则是指评审涉及的具体内容，如项目整体、某一阶段或特定技术点等。明确目标与范围有助于评审专家团队有针对性地开展工作作。</w:t>
            </w:r>
          </w:p>
          <w:p>
            <w:pPr>
              <w:pStyle w:val="null3"/>
              <w:jc w:val="both"/>
            </w:pPr>
            <w:r>
              <w:rPr>
                <w:rFonts w:ascii="仿宋_GB2312" w:hAnsi="仿宋_GB2312" w:cs="仿宋_GB2312" w:eastAsia="仿宋_GB2312"/>
              </w:rPr>
              <w:t>（2）应根据评审目标与范围，选取具有相应领域专业知识、实践经验和评审经验的专家。同时，还需考虑专家的地域分布、时间安排等因素，确保评审工作的顺利进行。</w:t>
            </w:r>
          </w:p>
          <w:p>
            <w:pPr>
              <w:pStyle w:val="null3"/>
              <w:jc w:val="both"/>
            </w:pPr>
            <w:r>
              <w:rPr>
                <w:rFonts w:ascii="仿宋_GB2312" w:hAnsi="仿宋_GB2312" w:cs="仿宋_GB2312" w:eastAsia="仿宋_GB2312"/>
              </w:rPr>
              <w:t>（3）制定评审标准与方法。评审标准应明确、具体，能够反映评审目标与范围的要求。评审方法则应灵活多样，可根据评审对象的特点选择合适的方法。</w:t>
            </w:r>
          </w:p>
          <w:p>
            <w:pPr>
              <w:pStyle w:val="null3"/>
              <w:jc w:val="both"/>
            </w:pPr>
            <w:r>
              <w:rPr>
                <w:rFonts w:ascii="仿宋_GB2312" w:hAnsi="仿宋_GB2312" w:cs="仿宋_GB2312" w:eastAsia="仿宋_GB2312"/>
              </w:rPr>
              <w:t>（4）应提前准备评审所需的材料与文件，包括项目报告、技术文档、数据资料等。同时，还需准备评审通知、评审表格等相关文件以便评审专家团队了解评审要求和流程。</w:t>
            </w:r>
          </w:p>
          <w:p>
            <w:pPr>
              <w:pStyle w:val="null3"/>
              <w:jc w:val="both"/>
            </w:pPr>
            <w:r>
              <w:rPr>
                <w:rFonts w:ascii="仿宋_GB2312" w:hAnsi="仿宋_GB2312" w:cs="仿宋_GB2312" w:eastAsia="仿宋_GB2312"/>
              </w:rPr>
              <w:t>（5）评审专家应充分了解项目或技术的情况，围绕评审标准与方法展开讨论和评价。会议期间应保持氛围友好、专业，确保评审工作的顺利进行。</w:t>
            </w:r>
          </w:p>
          <w:p>
            <w:pPr>
              <w:pStyle w:val="null3"/>
              <w:jc w:val="both"/>
            </w:pPr>
            <w:r>
              <w:rPr>
                <w:rFonts w:ascii="仿宋_GB2312" w:hAnsi="仿宋_GB2312" w:cs="仿宋_GB2312" w:eastAsia="仿宋_GB2312"/>
              </w:rPr>
              <w:t>（6）评审会议结束后，应及时记录并整理评审专家的意见。记录应详细、准确，包括专家的观点、建议、评价等。整理过程中，可对意见进行分类归纳，形成评审报告或总结。</w:t>
            </w:r>
          </w:p>
          <w:p>
            <w:pPr>
              <w:pStyle w:val="null3"/>
              <w:jc w:val="both"/>
            </w:pPr>
            <w:r>
              <w:rPr>
                <w:rFonts w:ascii="仿宋_GB2312" w:hAnsi="仿宋_GB2312" w:cs="仿宋_GB2312" w:eastAsia="仿宋_GB2312"/>
              </w:rPr>
              <w:t>（7）评审结果应及时反馈给相关方，如项目团队、管理部门等。反馈内容应包括评审结论、专家意见及建议等。相关方应根据评审结果，对项目或技术进行调整、改进。</w:t>
            </w:r>
          </w:p>
          <w:p>
            <w:pPr>
              <w:pStyle w:val="null3"/>
              <w:jc w:val="both"/>
            </w:pPr>
            <w:r>
              <w:rPr>
                <w:rFonts w:ascii="仿宋_GB2312" w:hAnsi="仿宋_GB2312" w:cs="仿宋_GB2312" w:eastAsia="仿宋_GB2312"/>
              </w:rPr>
              <w:t>（8）在评审工作结束后，应进行总结与分析评审过程中的经验与不足，提出改进措施。同时还应对评审制度、流程等方面进行完善，提高评审工作的效率和质量。</w:t>
            </w:r>
          </w:p>
          <w:p>
            <w:pPr>
              <w:pStyle w:val="null3"/>
              <w:jc w:val="both"/>
            </w:pPr>
            <w:r>
              <w:rPr>
                <w:rFonts w:ascii="仿宋_GB2312" w:hAnsi="仿宋_GB2312" w:cs="仿宋_GB2312" w:eastAsia="仿宋_GB2312"/>
              </w:rPr>
              <w:t>2.2科技项目咨询服务</w:t>
            </w:r>
          </w:p>
          <w:p>
            <w:pPr>
              <w:pStyle w:val="null3"/>
              <w:jc w:val="both"/>
            </w:pPr>
            <w:r>
              <w:rPr>
                <w:rFonts w:ascii="仿宋_GB2312" w:hAnsi="仿宋_GB2312" w:cs="仿宋_GB2312" w:eastAsia="仿宋_GB2312"/>
              </w:rPr>
              <w:t>技术机构管理基础工作，技术机构能力建设相关任务书、报告等资料的整理，相关会议的筹备等；科研项目立项准备，组织市场监管科技领域相关专家对科研项目建议书进行审核，协助组织市场监管科研领域相关专家对已完成的科研项目进行验收，协助组织对已验收的科研项目进行成果登记等相关工作；协助完成科普作品的征集、资料整理等工作。</w:t>
            </w:r>
          </w:p>
          <w:p>
            <w:pPr>
              <w:pStyle w:val="null3"/>
              <w:jc w:val="both"/>
            </w:pPr>
            <w:r>
              <w:rPr>
                <w:rFonts w:ascii="仿宋_GB2312" w:hAnsi="仿宋_GB2312" w:cs="仿宋_GB2312" w:eastAsia="仿宋_GB2312"/>
              </w:rPr>
              <w:t>2.3驻场服务</w:t>
            </w:r>
          </w:p>
          <w:p>
            <w:pPr>
              <w:pStyle w:val="null3"/>
              <w:jc w:val="both"/>
            </w:pPr>
            <w:r>
              <w:rPr>
                <w:rFonts w:ascii="仿宋_GB2312" w:hAnsi="仿宋_GB2312" w:cs="仿宋_GB2312" w:eastAsia="仿宋_GB2312"/>
              </w:rPr>
              <w:t>在合同期间，供应商组建4人项目团队为陕西省市场监督管理局提供各项服务，并委派2名人员到陕西省市场监督管理局驻场办公（1名人员驻场完成信息化项目咨询服务、1名人员驻场完成科技项目咨询服务），2名人员提供信息化项目远程支撑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2025年8月起至2026年8月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其他事项：1、验收合格后，填写政府采购项目验收单作为对本服务的最终认可。 2、服务商向采购人提供服务过程中的所有资料,以便采购人日后管理。 3、验收依据 3.1磋商文件、磋商响应文件、澄清表（函）； 3.2本合同及附件文本；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项目到期并验收合格后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 3.4.1根据采购文件要求及合同约定执行；事业单位参与磋商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 3.4.2（响应文件格式-标的清单）本项目服务范围：科技与信息化建设设计咨询服务项目；服务要求：符合采购文件有关技术、商务要求；服务标准：符合国家和省、市有关行业标准及采购人的有关规定。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提供2024年11月至今已缴纳的至少一个月的纳税证明（时间以税款所属日期为准)，依法免税的单位应提供相关证明材料。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服务期限响应磋商文件要求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评审得分相同的，按照最后报价由低到高的顺序推荐。评审得分且最后报价相同的，按照技术指标优劣顺序推荐。评审得分且最后报价且技术指标得分均相同的，由采购人采取随机抽取的方式确定成交供应商。</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项目的理解</w:t>
            </w:r>
          </w:p>
        </w:tc>
        <w:tc>
          <w:tcPr>
            <w:tcW w:type="dxa" w:w="2492"/>
          </w:tcPr>
          <w:p>
            <w:pPr>
              <w:pStyle w:val="null3"/>
            </w:pPr>
            <w:r>
              <w:rPr>
                <w:rFonts w:ascii="仿宋_GB2312" w:hAnsi="仿宋_GB2312" w:cs="仿宋_GB2312" w:eastAsia="仿宋_GB2312"/>
              </w:rPr>
              <w:t>区间分值0-12分。 评审标准细化内容： 包括但不限于①供应商对本项目背景和现状的了解;②服务内容、需求的理解和把握；③对项目需求的重点、难点分析；④针对重点和难点的解决方案。 评审标准： 1、完整性：内容详细全面，对本项目了解透彻； 2、真实性：切合本项目实际情况，描述贴合实际和本次采购要求； 3、针对性：对项目的理解要有足够的针对性，需要紧扣项目实际情况。 评审标准量化内容： （1）各部分内容全面详细、阐述条理清晰详尽、符合本项目采购需求得12分； （2）评审标准细化内容每缺少一项扣3分；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区间分值：0-28分。 评审标准细化内容： 包括但不限于①资料收集、整理方案②调研方案③方案编制制作方案④沟通、组织协调、配合方案⑤审核方案⑥评估方案⑦配合验收方案等内容； 评审标准： 1、可实施性：切合本项目实际情况，方案全面、实施步骤清晰、合理； 2、针对性：方案能够紧扣项目实际情况，内容科学合理； 评审标准量化内容： （1）各部分内容全面详细、阐述条理清晰详尽、符合本项目采购需求得28分； （2）评审标准细化内容每缺少一项内容扣4分；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区间分值0-6分。 评审标准细化内容： 供应商针对本项目提出①进度计划；②保障项目进度的措施。 评审标准： 1、可实施性：切合本项目实际情况，方案全面、实施步骤清晰、合理； 2、针对性：方案能够紧扣项目实际情况，内容科学合理； 评审标准量化内容： （1）评审标准细化内容全面详细、阐述条理清晰详尽、符合本项目采购需求得6分； （2）评审标准细化内容每缺少一项内容扣3分；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项目团队主要人员配置情况</w:t>
            </w:r>
          </w:p>
        </w:tc>
        <w:tc>
          <w:tcPr>
            <w:tcW w:type="dxa" w:w="2492"/>
          </w:tcPr>
          <w:p>
            <w:pPr>
              <w:pStyle w:val="null3"/>
            </w:pPr>
            <w:r>
              <w:rPr>
                <w:rFonts w:ascii="仿宋_GB2312" w:hAnsi="仿宋_GB2312" w:cs="仿宋_GB2312" w:eastAsia="仿宋_GB2312"/>
              </w:rPr>
              <w:t>区间分值：0-11分。 评审标准细化及量化内容： 1、项目负责人：具有信息系统项目管理师证书（高级）计3分；具有3年及以上类似项目经验的计2分。 注：需提供相关证书复印件；项目经验需提供有效证明材料，包括但不限于成果文件或公示公告等证明材料（不提供或提供不全，本项不得分） 2、项目组人员：本科及以上学历，每符合1个得2分；本项满分6分。 注：提供毕业证书或学信网证明资料。</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区间分值：0-8分。 评审标准细化内容： 供应商针对本项目提出①质量保证措施；②项目管理制度。 评审标准： 1、完整性：项目质量保障措施、项目管理制度必须全面，有详细描述； 2、合理性：项目质量保障措施、项目管理制度须切合本项目实际情况，具有相应措施。 评审标准量化内容： （1）评审标准细化内容全面详细、阐述条理清晰详尽、符合本项目采购需求得8分； （2）评审标准细化内容每缺少一项内容扣4分；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重点难点的理解与进度保障方案</w:t>
            </w:r>
          </w:p>
        </w:tc>
        <w:tc>
          <w:tcPr>
            <w:tcW w:type="dxa" w:w="2492"/>
          </w:tcPr>
          <w:p>
            <w:pPr>
              <w:pStyle w:val="null3"/>
            </w:pPr>
            <w:r>
              <w:rPr>
                <w:rFonts w:ascii="仿宋_GB2312" w:hAnsi="仿宋_GB2312" w:cs="仿宋_GB2312" w:eastAsia="仿宋_GB2312"/>
              </w:rPr>
              <w:t>区间分值：0-6分。 评审标准细化内容： 指①针对本项目的重难点分析②针对重难点分析后的预防及解决措施等内容。 评审标准 1、完整性：针对本项目的重难点分析及预防解决措施，有详细描述； 2、可实施性：结合本项目实际情况，提出步骤清晰、合理的措施。 评审标准量化内容： （1）评审标准细化内容全面详细、阐述条理清晰详尽、符合本项目采购需求得6分； （2）评审标准细化内容每缺少一项内容扣3分；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突发事件及安全保障方案</w:t>
            </w:r>
          </w:p>
        </w:tc>
        <w:tc>
          <w:tcPr>
            <w:tcW w:type="dxa" w:w="2492"/>
          </w:tcPr>
          <w:p>
            <w:pPr>
              <w:pStyle w:val="null3"/>
            </w:pPr>
            <w:r>
              <w:rPr>
                <w:rFonts w:ascii="仿宋_GB2312" w:hAnsi="仿宋_GB2312" w:cs="仿宋_GB2312" w:eastAsia="仿宋_GB2312"/>
              </w:rPr>
              <w:t>区间分值：0-6分。 评审标准细化内容： 指①应急预案②应急保障措施。 评审标准 1、完整性：针对本项目的应急预案、应急保障措施，有详细描述； 2、可实施性：结合本项目实际情况，提出步骤清晰、合理的措施。 评审标准量化内容： （1）评审标准细化内容全面详细、阐述条理清晰详尽、符合本项目采购需求得6分； （2）评审标准细化内容每缺少一项内容扣3分；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区间分值：0-3分。 评审标准细化内容： 指ISO 9001质量管理体系认证证书； ISO/IEC 20000信息技术服务管理体系认证证书；ISO/IEC 27001信息安全管理体系认证。 评审标准量化内容： 每提供一个认证证书得1分，不提供不得分。 （注：提供证书复印件）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价格分统一采用低价优先法计算，即满足磋商文件要求且经评审后最低的价格为磋商基准价，其价格分为满分。其他供应商的价格分统一按照下列公式计算：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