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版本号：【KRDL】K5-250505520250605001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北新街校区11号学生公寓楼粉刷改造项目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【KRDL】K5-2505055</w:t>
      </w:r>
      <w:r>
        <w:br/>
      </w:r>
      <w:r>
        <w:br/>
      </w:r>
      <w:r>
        <w:br/>
      </w:r>
    </w:p>
    <w:p>
      <w:pPr>
        <w:pStyle w:val="null3"/>
        <w:jc w:val="center"/>
        <w:outlineLvl w:val="2"/>
      </w:pPr>
      <w:r>
        <w:rPr>
          <w:rFonts w:ascii="仿宋_GB2312" w:hAnsi="仿宋_GB2312" w:cs="仿宋_GB2312" w:eastAsia="仿宋_GB2312"/>
          <w:sz w:val="28"/>
          <w:b/>
        </w:rPr>
        <w:t>商洛学院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商洛学院</w:t>
      </w:r>
      <w:r>
        <w:rPr>
          <w:rFonts w:ascii="仿宋_GB2312" w:hAnsi="仿宋_GB2312" w:cs="仿宋_GB2312" w:eastAsia="仿宋_GB2312"/>
        </w:rPr>
        <w:t>委托，拟对</w:t>
      </w:r>
      <w:r>
        <w:rPr>
          <w:rFonts w:ascii="仿宋_GB2312" w:hAnsi="仿宋_GB2312" w:cs="仿宋_GB2312" w:eastAsia="仿宋_GB2312"/>
        </w:rPr>
        <w:t>北新街校区11号学生公寓楼粉刷改造项目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【KRDL】K5-2505055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北新街校区11号学生公寓楼粉刷改造项目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商洛学院北新街校区11号学生公寓楼粉刷改造项目，本项目预算金额：人民币伍拾陆万捌仟陆佰壹拾玖元玖角肆分（￥568619.94元）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采购包1（北新街校区11号学生公寓楼粉刷改造项目）：属于专门面向中小企业采购。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信誉要求：截止响应文件递交截止时间之前，供应商未在“信用中国”网站（www.creditchina.gov.cn）中被列入“信用服务”查询栏目中严重失信主体名单以及重点领域严重失信主体名单、未在“中国政府采购网(www.ccgp.gov.cn)” 中被列入政府采购严重违法失信行为记录名单；</w:t>
      </w:r>
    </w:p>
    <w:p>
      <w:pPr>
        <w:pStyle w:val="null3"/>
      </w:pPr>
      <w:r>
        <w:rPr>
          <w:rFonts w:ascii="仿宋_GB2312" w:hAnsi="仿宋_GB2312" w:cs="仿宋_GB2312" w:eastAsia="仿宋_GB2312"/>
        </w:rPr>
        <w:t>3、供应商资质：供应商须具备建筑工程施工总承包三级及以上资质或建筑装修装饰工程专业承包二级及以上资质，并具备有效的安全生产许可证；</w:t>
      </w:r>
    </w:p>
    <w:p>
      <w:pPr>
        <w:pStyle w:val="null3"/>
      </w:pPr>
      <w:r>
        <w:rPr>
          <w:rFonts w:ascii="仿宋_GB2312" w:hAnsi="仿宋_GB2312" w:cs="仿宋_GB2312" w:eastAsia="仿宋_GB2312"/>
        </w:rPr>
        <w:t>4、拟派项目经理资格：拟派项目经理须具备合法有效的建筑工程专业二级及以上注册建造师执业资格及有效的安全生产考核合格证，且未担任其他在建工程项目的项目经理；</w:t>
      </w:r>
    </w:p>
    <w:p>
      <w:pPr>
        <w:pStyle w:val="null3"/>
      </w:pPr>
      <w:r>
        <w:rPr>
          <w:rFonts w:ascii="仿宋_GB2312" w:hAnsi="仿宋_GB2312" w:cs="仿宋_GB2312" w:eastAsia="仿宋_GB2312"/>
        </w:rPr>
        <w:t>5、控股、管理关系：单位负责人为同一人或者存在直接控股、管理关系的不同供应商，不得参加同一合同项下的政府采购活动；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6、授权代表：供应商应授权合法的人员参加本项目磋商会议全过程；</w:t>
      </w:r>
    </w:p>
    <w:p>
      <w:pPr>
        <w:pStyle w:val="null3"/>
      </w:pPr>
      <w:r>
        <w:rPr>
          <w:rFonts w:ascii="仿宋_GB2312" w:hAnsi="仿宋_GB2312" w:cs="仿宋_GB2312" w:eastAsia="仿宋_GB2312"/>
        </w:rPr>
        <w:t>7、其他要求：陕西省住房和城乡建设厅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8、是否面向中小企业采购：本项目为专门面向中、小企业项目，供应商应为中型企业或小型企业或微型企业。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0914-2310227、0914-2335617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029-81870236、17602924160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采购包1：568,619.94元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采购包1保证金金额：2,025.00元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 改革委员会办公厅颁发的《关于招标代理服务收费有关问题的通知》（发改办价格[2003] 857号）的有关规定下浮25%，向采购代理机构一次付清招标代理服务费。备注：在对采购代理服务费或者磋商保证金转账时需备注项目名称+招标代理服务费或投标保证金。</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商洛学院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联系人：王森</w:t>
      </w:r>
    </w:p>
    <w:p>
      <w:pPr>
        <w:pStyle w:val="null3"/>
      </w:pPr>
      <w:r>
        <w:rPr>
          <w:rFonts w:ascii="仿宋_GB2312" w:hAnsi="仿宋_GB2312" w:cs="仿宋_GB2312" w:eastAsia="仿宋_GB2312"/>
        </w:rPr>
        <w:t>联系电话：029-81870236、17602924160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568,619.94</w:t>
      </w:r>
    </w:p>
    <w:p>
      <w:pPr>
        <w:pStyle w:val="null3"/>
      </w:pPr>
      <w:r>
        <w:rPr>
          <w:rFonts w:ascii="仿宋_GB2312" w:hAnsi="仿宋_GB2312" w:cs="仿宋_GB2312" w:eastAsia="仿宋_GB2312"/>
        </w:rPr>
        <w:t>采购包最高限价（元）: 568,619.94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北新街校区11号学生公寓楼粉刷改造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568,619.94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标的名称：北新街校区11号学生公寓楼粉刷改造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商洛学院</w:t>
            </w:r>
            <w:r>
              <w:rPr>
                <w:rFonts w:ascii="仿宋_GB2312" w:hAnsi="仿宋_GB2312" w:cs="仿宋_GB2312" w:eastAsia="仿宋_GB2312"/>
                <w:sz w:val="21"/>
              </w:rPr>
              <w:t>北新街校区</w:t>
            </w:r>
            <w:r>
              <w:rPr>
                <w:rFonts w:ascii="仿宋_GB2312" w:hAnsi="仿宋_GB2312" w:cs="仿宋_GB2312" w:eastAsia="仿宋_GB2312"/>
                <w:sz w:val="21"/>
              </w:rPr>
              <w:t>11</w:t>
            </w:r>
            <w:r>
              <w:rPr>
                <w:rFonts w:ascii="仿宋_GB2312" w:hAnsi="仿宋_GB2312" w:cs="仿宋_GB2312" w:eastAsia="仿宋_GB2312"/>
                <w:sz w:val="21"/>
              </w:rPr>
              <w:t>号学生公寓楼粉刷改造项目</w:t>
            </w:r>
            <w:r>
              <w:rPr>
                <w:rFonts w:ascii="仿宋_GB2312" w:hAnsi="仿宋_GB2312" w:cs="仿宋_GB2312" w:eastAsia="仿宋_GB2312"/>
                <w:sz w:val="21"/>
              </w:rPr>
              <w:t>的全部内容，具体范围以本项目磋商文件、答疑文件、工程量清单等文件所涵盖的内容为准。</w:t>
            </w:r>
          </w:p>
          <w:p>
            <w:pPr>
              <w:pStyle w:val="null3"/>
              <w:jc w:val="both"/>
            </w:pPr>
            <w:r>
              <w:rPr>
                <w:rFonts w:ascii="仿宋_GB2312" w:hAnsi="仿宋_GB2312" w:cs="仿宋_GB2312" w:eastAsia="仿宋_GB2312"/>
                <w:sz w:val="21"/>
              </w:rPr>
              <w:t>二、工程技术标准及要求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本工程施工严格按照规范要求进行施工，达到各项拟定指标，确保工程质量达到国家强制性合格标准。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本工程施工必须严格按照工程技术要求及行业规范进行施工，并无条件地接受采购人全方位、全过程的监督管理。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所有材料必须在检验合格经采购人同意后，方可用于本工程。</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隐蔽工程必须经采购人检查、验收后，方可进行下一道工序。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在免费质量保修期内，成交供应商对有缺陷的部位必须无偿地给予修理与更换，并承担一切由此引起的对采购人或第三者的直接损失，除非该缺陷是由于人为破坏或合同规定的不可抗因素造成的损坏。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供应商必须对所承包的工程的质量负全部责任，其责任不因其他材料生产商提供的保证书而减轻或更改。</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施工时注意做好必要的劳动保护工作。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供应商在施工过程中应采取安全措施，避免造成对第三方人身和财产的损害。因供应商操作不当、管理不善而造成人身伤害或财产损失的，由供应商承担。发生紧急事故需处置的，供应商在接到事故通知后，应当立即到达事故现场处置。</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本工程其他技术标准及要求执行</w:t>
            </w:r>
            <w:r>
              <w:rPr>
                <w:rFonts w:ascii="仿宋_GB2312" w:hAnsi="仿宋_GB2312" w:cs="仿宋_GB2312" w:eastAsia="仿宋_GB2312"/>
                <w:sz w:val="21"/>
              </w:rPr>
              <w:t>现行</w:t>
            </w:r>
            <w:r>
              <w:rPr>
                <w:rFonts w:ascii="仿宋_GB2312" w:hAnsi="仿宋_GB2312" w:cs="仿宋_GB2312" w:eastAsia="仿宋_GB2312"/>
                <w:sz w:val="21"/>
              </w:rPr>
              <w:t>规范</w:t>
            </w:r>
            <w:r>
              <w:rPr>
                <w:rFonts w:ascii="仿宋_GB2312" w:hAnsi="仿宋_GB2312" w:cs="仿宋_GB2312" w:eastAsia="仿宋_GB2312"/>
                <w:sz w:val="21"/>
              </w:rPr>
              <w:t>和采购人</w:t>
            </w:r>
            <w:r>
              <w:rPr>
                <w:rFonts w:ascii="仿宋_GB2312" w:hAnsi="仿宋_GB2312" w:cs="仿宋_GB2312" w:eastAsia="仿宋_GB2312"/>
                <w:sz w:val="21"/>
              </w:rPr>
              <w:t>实际需求。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在施工过程中，如果国家或有关部门颁布了新的技术部</w:t>
            </w:r>
            <w:r>
              <w:rPr>
                <w:rFonts w:ascii="仿宋_GB2312" w:hAnsi="仿宋_GB2312" w:cs="仿宋_GB2312" w:eastAsia="仿宋_GB2312"/>
                <w:sz w:val="21"/>
              </w:rPr>
              <w:t>分标</w:t>
            </w:r>
            <w:r>
              <w:rPr>
                <w:rFonts w:ascii="仿宋_GB2312" w:hAnsi="仿宋_GB2312" w:cs="仿宋_GB2312" w:eastAsia="仿宋_GB2312"/>
                <w:sz w:val="21"/>
              </w:rPr>
              <w:t>准或规范，则承包人应采用新的标准或规范进行施工。</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采购人</w:t>
            </w:r>
            <w:r>
              <w:rPr>
                <w:rFonts w:ascii="仿宋_GB2312" w:hAnsi="仿宋_GB2312" w:cs="仿宋_GB2312" w:eastAsia="仿宋_GB2312"/>
                <w:sz w:val="21"/>
              </w:rPr>
              <w:t>提供工程的施工方案和相关技术文件，是</w:t>
            </w:r>
            <w:r>
              <w:rPr>
                <w:rFonts w:ascii="仿宋_GB2312" w:hAnsi="仿宋_GB2312" w:cs="仿宋_GB2312" w:eastAsia="仿宋_GB2312"/>
                <w:sz w:val="21"/>
              </w:rPr>
              <w:t>采购人</w:t>
            </w:r>
            <w:r>
              <w:rPr>
                <w:rFonts w:ascii="仿宋_GB2312" w:hAnsi="仿宋_GB2312" w:cs="仿宋_GB2312" w:eastAsia="仿宋_GB2312"/>
                <w:sz w:val="21"/>
              </w:rPr>
              <w:t>现有的能被</w:t>
            </w:r>
            <w:r>
              <w:rPr>
                <w:rFonts w:ascii="仿宋_GB2312" w:hAnsi="仿宋_GB2312" w:cs="仿宋_GB2312" w:eastAsia="仿宋_GB2312"/>
                <w:sz w:val="21"/>
              </w:rPr>
              <w:t>供应商</w:t>
            </w:r>
            <w:r>
              <w:rPr>
                <w:rFonts w:ascii="仿宋_GB2312" w:hAnsi="仿宋_GB2312" w:cs="仿宋_GB2312" w:eastAsia="仿宋_GB2312"/>
                <w:sz w:val="21"/>
              </w:rPr>
              <w:t>利用的资料，</w:t>
            </w:r>
            <w:r>
              <w:rPr>
                <w:rFonts w:ascii="仿宋_GB2312" w:hAnsi="仿宋_GB2312" w:cs="仿宋_GB2312" w:eastAsia="仿宋_GB2312"/>
                <w:sz w:val="21"/>
              </w:rPr>
              <w:t>采购</w:t>
            </w:r>
            <w:r>
              <w:rPr>
                <w:rFonts w:ascii="仿宋_GB2312" w:hAnsi="仿宋_GB2312" w:cs="仿宋_GB2312" w:eastAsia="仿宋_GB2312"/>
                <w:sz w:val="21"/>
              </w:rPr>
              <w:t>人对</w:t>
            </w:r>
            <w:r>
              <w:rPr>
                <w:rFonts w:ascii="仿宋_GB2312" w:hAnsi="仿宋_GB2312" w:cs="仿宋_GB2312" w:eastAsia="仿宋_GB2312"/>
                <w:sz w:val="21"/>
              </w:rPr>
              <w:t>供应商</w:t>
            </w:r>
            <w:r>
              <w:rPr>
                <w:rFonts w:ascii="仿宋_GB2312" w:hAnsi="仿宋_GB2312" w:cs="仿宋_GB2312" w:eastAsia="仿宋_GB2312"/>
                <w:sz w:val="21"/>
              </w:rPr>
              <w:t>做出的任何推论、理解均不负责任。</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供应商</w:t>
            </w:r>
            <w:r>
              <w:rPr>
                <w:rFonts w:ascii="仿宋_GB2312" w:hAnsi="仿宋_GB2312" w:cs="仿宋_GB2312" w:eastAsia="仿宋_GB2312"/>
                <w:sz w:val="21"/>
              </w:rPr>
              <w:t>应先到工地踏勘以充分了解工地位置、地质情况、进出场道路、拆迁干扰、储存空间、运输能力、装卸限制、行车干扰及任何</w:t>
            </w:r>
            <w:r>
              <w:rPr>
                <w:rFonts w:ascii="仿宋_GB2312" w:hAnsi="仿宋_GB2312" w:cs="仿宋_GB2312" w:eastAsia="仿宋_GB2312"/>
                <w:sz w:val="21"/>
              </w:rPr>
              <w:t>其他</w:t>
            </w:r>
            <w:r>
              <w:rPr>
                <w:rFonts w:ascii="仿宋_GB2312" w:hAnsi="仿宋_GB2312" w:cs="仿宋_GB2312" w:eastAsia="仿宋_GB2312"/>
                <w:sz w:val="21"/>
              </w:rPr>
              <w:t>足以影响承包价格的情况，了解施工规范、标准以及施工现场实际等情况，并应考虑现有人、材、机市场水平和供应、投标风险、不利的施工因素等，任何因忽视或误解工地情况</w:t>
            </w:r>
            <w:r>
              <w:rPr>
                <w:rFonts w:ascii="仿宋_GB2312" w:hAnsi="仿宋_GB2312" w:cs="仿宋_GB2312" w:eastAsia="仿宋_GB2312"/>
                <w:sz w:val="21"/>
              </w:rPr>
              <w:t>而导致的索赔或工期延长申请将不获批准。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工程量清单（另册）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符合国家现行施工及验收规范合格标准。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1.工期：自合同签订之日起至2025年8月10日前完工。 2.质量要求：满足现行《建筑与市政工程施工质量控制通用规范》的要求，质量验收合格。 3.质量保修期：自工程竣工验收合格之日起1年。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落实政府采购政策需满足的资格要求：（1）《关于在政府采购活动中查询及使用信用记录有关问题的通知》（财库〔2016〕125号）；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截止响应文件递交截止时间之前，供应商未在“信用中国”网站（www.creditchina.gov.cn）中被列入“信用服务”查询栏目中严重失信主体名单以及重点领域严重失信主体名单、未在“中国政府采购网(www.ccgp.gov.cn)” 中被列入政府采购严重违法失信行为记录名单；</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供应商须具备建筑工程施工总承包三级及以上资质或建筑装修装饰工程专业承包二级及以上资质，并具备有效的安全生产许可证；</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拟派项目经理须具备合法有效的建筑工程专业二级及以上注册建造师执业资格及有效的安全生产考核合格证，且未担任其他在建工程项目的项目经理；</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供应商应授权合法的人员参加本项目磋商会议全过程；</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陕西省住房和城乡建设厅供应商及拟派项目经理须在“陕西省住房和城乡建设厅”官网可查询。如供应商为外省进陕企业，还须同时提供“陕西省住房和城乡建设厅”官网企业库外省进陕施工企业信息首页截图；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本项目为专门面向中、小企业项目，供应商应为中型企业或小型企业或微型企业。</w:t>
            </w:r>
          </w:p>
        </w:tc>
        <w:tc>
          <w:tcPr>
            <w:tcW w:type="dxa" w:w="1661"/>
          </w:tcPr>
          <w:p>
            <w:pPr>
              <w:pStyle w:val="null3"/>
            </w:pPr>
            <w:r>
              <w:rPr>
                <w:rFonts w:ascii="仿宋_GB2312" w:hAnsi="仿宋_GB2312" w:cs="仿宋_GB2312" w:eastAsia="仿宋_GB2312"/>
              </w:rPr>
              <w:t>供应商应提供的相关资格证明文件.docx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供应商应提供的相关资格证明文件.docx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响应函签字盖章</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供应商应提供的相关资格证明文件.docx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应当只能有一个有效报价，否则磋商小组应当将其响应文件作为无效处理；</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工期唯一</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未超过竞争性磋商文件中规定的最高限价；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未含有采购人不能接受的附加条件的或其他情形；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供应商应提供的相关资格证明文件.docx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供应商应提供的相关资格证明文件.docx 项目管理机构组成表 残疾人福利性单位声明函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供应商提供自2022年5月1日至今的类似业绩证明材料，每提供1项得1分，最多得5分。 备注： 1.类似业绩证明材料指改造项目的业绩证明材料，或包含改造项目内容的业绩证明材料，以合同为准。 2.业绩时间以合同签订时间所体现的时间为准。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1.拟派项目经理业绩：（满分2分） 供应商提供拟派项目经理自2022年5月1日以来至今已完成的类似业绩证明材料的（在该项目中担任项目经理一职），每提供一个得2分，最高得2分。 评审依据：附合同复印件或扫描件并加盖供应商公章，时间以合同签订时间为准。缺少资料或未按照上述要求提供的，均按照0分计入。所提供合同复印件或扫描件中必须体现拟派项目经理在该项目中担任项目经理一职，否则不予赋分。类似业绩证明材料指改造的业绩证明材料，或包含改造内容的业绩证明材料，以合同为准。企业业绩和拟派项目经理业绩可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拟派项目经理学历：（满分3分） 具有本科及以上学历的得3分，具有大专学历的得2分，其它情况不得分。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拟派项目部人员</w:t>
            </w:r>
          </w:p>
        </w:tc>
        <w:tc>
          <w:tcPr>
            <w:tcW w:type="dxa" w:w="2492"/>
          </w:tcPr>
          <w:p>
            <w:pPr>
              <w:pStyle w:val="null3"/>
            </w:pPr>
            <w:r>
              <w:rPr>
                <w:rFonts w:ascii="仿宋_GB2312" w:hAnsi="仿宋_GB2312" w:cs="仿宋_GB2312" w:eastAsia="仿宋_GB2312"/>
              </w:rPr>
              <w:t>根据供应商提供针对本项目拟派实施人员团队（包括但不限于人员组织架构、成员职责分工等内容）的进行评审： 项目组人员配备齐全，组织架构及成员职责分工明确针对性强得得3.1-5分； 项目组人员配备基本齐全，分工基本明确，有一定针对性得1.1-3分； 项目组人员配备稍有不足，分工模糊，针对性稍弱得0-1分；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主要材料（大白粉、乳胶漆、滑石粉、砂纸）1</w:t>
            </w:r>
          </w:p>
        </w:tc>
        <w:tc>
          <w:tcPr>
            <w:tcW w:type="dxa" w:w="2492"/>
          </w:tcPr>
          <w:p>
            <w:pPr>
              <w:pStyle w:val="null3"/>
            </w:pPr>
            <w:r>
              <w:rPr>
                <w:rFonts w:ascii="仿宋_GB2312" w:hAnsi="仿宋_GB2312" w:cs="仿宋_GB2312" w:eastAsia="仿宋_GB2312"/>
              </w:rPr>
              <w:t>1.根据投标人针对本项目拟投入的主要材料的供货渠道、来源及质量承诺进行评审： 供货渠道及来源证明材料完整，质量承诺书内容详细，与本项目契合度高的得3.1-5分； 供货渠道及来源证明材料完整，承诺书内容简单的得1.1-3分； 供货渠道及来源合法证明材料证明材料缺项严重，承诺书内容与本项目不符的得0.1-1分；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主要材料（大白粉、乳胶漆、滑石粉、砂纸）2</w:t>
            </w:r>
          </w:p>
        </w:tc>
        <w:tc>
          <w:tcPr>
            <w:tcW w:type="dxa" w:w="2492"/>
          </w:tcPr>
          <w:p>
            <w:pPr>
              <w:pStyle w:val="null3"/>
            </w:pPr>
            <w:r>
              <w:rPr>
                <w:rFonts w:ascii="仿宋_GB2312" w:hAnsi="仿宋_GB2312" w:cs="仿宋_GB2312" w:eastAsia="仿宋_GB2312"/>
              </w:rPr>
              <w:t>2.根据投标人拟投主要材料，满足国家绿色环保要求本项目实际要求，符合国家及行业相关标准进行评审： 主要材料符合国家绿色环保要求及国家及行业相关标准，证明材料齐全完整的得3.1-5分； 主要材料符合国家绿色环保要求及符合国家及行业相关标准，证明材料稍有欠缺的得1.1-3分； 主要材料不符合国家绿色环保要求及国家及行业相关标准，证明材料缺项严重的得0.1-1分；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主要材料（大白粉、乳胶漆、滑石粉、砂纸）3</w:t>
            </w:r>
          </w:p>
        </w:tc>
        <w:tc>
          <w:tcPr>
            <w:tcW w:type="dxa" w:w="2492"/>
          </w:tcPr>
          <w:p>
            <w:pPr>
              <w:pStyle w:val="null3"/>
            </w:pPr>
            <w:r>
              <w:rPr>
                <w:rFonts w:ascii="仿宋_GB2312" w:hAnsi="仿宋_GB2312" w:cs="仿宋_GB2312" w:eastAsia="仿宋_GB2312"/>
              </w:rPr>
              <w:t>3.投标人需针对本项目提供拟投入主材清单（清单内容包括但不限于材料名称、品牌、规格、材质等），根据提供的内容进行评审： 主要材料清单合理，内容齐全，完全满足项目需求的得3.1-5分； 主要材料清单基本合理，内容较齐全，基本满足项目需求的得1.1-3分； 主要材料缺项严重的得0.1-1分；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根据供应商针对项目工期紧、技术标准高，制定全面、科学的实施方案和技术组织措施（含施工进度表或施工网络图及各阶段进度保证措施）以及确保工程按期按质完成措施进行评审： 措施内容丰富详实、符合采购人项目要求、合理性、针对性强的得3.1-5分； 措施内容充实、基本贴合项目需求、考虑完善的得1.1-3分；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根据供应商提供的确保安全生产的技术组织措施（包括但不限于安全施工承诺书、安全施工措施等）进行评审： 措施内容丰富详实、符合采购人项目要求、合理性、针对性强的得3.1-5分； 措施内容充实、基本贴合采购人需求、考虑完善的得1.1-3分；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根据供应商提供针对本项目制定的粉刷改造施工方案（包含但不限于铲除顶棚、墙面乳胶漆，天棚抹灰）进行评审： 粉刷改造施工方案内容丰富详实、符合采购人项目要求，科学合理、合理性及针对性强，完全满足项目要求的得7.1-10分； 粉刷改造施工方案稍有欠缺，基本贴合项目需求，有一定的可行性，但能够满足项目需求的得3.1-7分； 粉刷改造施工方案有较多欠缺，不能满足项目需求的得0-3分；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根据供应商针对本项目特点制定切实可行的质量控制目标和保证措施进行评审： 措施内容丰富详实、符合采购人项目要求、合理性、针对性强的得3.1-5分； 措施内容充实、基本贴合采购人需求、考虑完善的得1.1-3分；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根据供应商提供针对本项目拟定的专项扬尘预防措施进行评审： 措施内容丰富详实、符合采购人项目要求、合理性、针对性强的得3.1-5分； 措施内容充实、基本贴合采购人需求、考虑完善的得1.1-3分；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磋商小组根据拟投入本项目的机械配备投入情况是否满足本工程施工的实际需要进行评审： 拟投入机械配备齐全、先进、稳定性高，完全能够满足项目要求得3.1-5分； 拟投入机械配备较为齐全，适配度较高，基本满足项目要求得1.1-3分； 拟投入机械配备适配度稍有欠缺，得0-1分；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供应商结合校区施工环境、特点，制定出有针对性对于校园及施工地点周边的安全生产保证措施和相关应急措施（突然停电、火灾突发、扰民等）及文明施工措施的内容进行评审： 措施内容丰富详实、符合采购人项目要求、合理性、针对性强的得3.1-5分； 措施内容充实、基本贴合采购人需求、考虑完善的得1.1-3分；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磋商报价采用低价优先法计算，即满足磋商文件要求且最后磋商报价最低的报价为评审基准价，其价格分为满分30分。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详见附件：供应商应提供的相关资格证明文件.docx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