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版本号：ZX2025-03-5220250606001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经营主体信用监管重点标准化技术研究项目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ZX2025-03-52</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经营主体信用监管重点标准化技术研究项目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ZX2025-03-52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经营主体信用监管重点标准化技术研究项目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近年来，标准化在社会信用体系建设中的重视程度越来越高。信用标准化已成为完善社会主义市场经济体制、推进社会治理能力现代化的重要手段和基础支撑，在信用监管工作中发挥的作用也将愈加明显。 市场监管信用体系是一个多方市场主体共同参与的庞大、复杂的系统工程。随着工作的不断深入，信用信息归集、共享、公示、应用、管理和服务等标准化需求不断涌现，不同部门、不同地区之间信用信息多头采集、数据交换共享困难、信用结果表示不统一等矛盾逐渐显现，有必要运用标准化手段助力形成规范、统一、协调的市场监管信用体系。开展经营主体信用监管标准体系顶层设计，摸清信用监管标准化需求，明确信用监管标准化实施路径，并开展关键技术标准研制以及关键技术标准，成为推进信用监管标准化工作的首要重点任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029-86138809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采购包1保证金金额：20,003.52元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按照采购文件、响应文件以及合同要求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近年来，标准化在社会信用体系建设中的重视程度越来越高。信用标准化已成为完善社会主义市场经济体制、推进社会治理能力现代化的重要手段和基础支撑，在信用监管工作中发挥的作用也将愈加明显。 市场监管信用体系是一个多方市场主体共同参与的庞大、复杂的系统工程。随着工作的不断深入，信用信息归集、共享、公示、应用、管理和服务等标准化需求不断涌现，不同部门、不同地区之间信用信息多头采集、数据交换共享困难、信用结果表示不统一等矛盾逐渐显现，有必要运用标准化手段助力形成规范、统一、协调的市场监管信用体系。开展经营主体信用监管标准体系顶层设计，摸清信用监管标准化需求，明确信用监管标准化实施路径，并开展关键技术标准研制以及关键技术标准，成为推进信用监管标准化工作的首要重点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1,199,000.00</w:t>
      </w:r>
    </w:p>
    <w:p>
      <w:pPr>
        <w:pStyle w:val="null3"/>
      </w:pPr>
      <w:r>
        <w:rPr>
          <w:rFonts w:ascii="仿宋_GB2312" w:hAnsi="仿宋_GB2312" w:cs="仿宋_GB2312" w:eastAsia="仿宋_GB2312"/>
        </w:rPr>
        <w:t>采购包最高限价（元）: 1,199,000.00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经营主体信用监管重点标准化技术研究项目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标的名称：经营主体信用监管重点标准化技术研究项目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一、项目背景</w:t>
            </w:r>
          </w:p>
          <w:p>
            <w:pPr>
              <w:pStyle w:val="null3"/>
            </w:pPr>
            <w:r>
              <w:rPr>
                <w:rFonts w:ascii="仿宋_GB2312" w:hAnsi="仿宋_GB2312" w:cs="仿宋_GB2312" w:eastAsia="仿宋_GB2312"/>
              </w:rPr>
              <w:t>近年来，标准化在社会信用体系建设中的重视程度越来越高。《国务院办公厅关于加快推进社会信用体系建设构建以信用为基础的新型监管机制的指导意见》（国办发〔2019〕35号）提出，建立健全全国统一的信用监管规则和标准。《国家标准化发展纲要》指出，标准化在推进国家治理体系和治理能力现代化中发挥着基础性、引领性作用。2022年，中共中央办公厅、国务院办公厅分别印发了《关于推进社会信用体系建设高质量发展促进形成新发展格局的意见》和《关于加快建设全国统一大市场的意见》，都明确提出“在信用领域稳步拓展规则、规制、管理、标准等制度型开放”“完善信用标准体系”等任务。信用标准化已成为完善社会主义市场经济体制、推进社会治理能力现代化的重要手段和基础支撑，在信用监管工作中发挥的作用也将愈加明显。</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市场监管信用体系是一个多方市场主体共同参与的庞大、复杂的系统工程。随着工作的不断深入，信用信息归集、共享、公示、应用、管理和服务等标准化需求不断涌现，不同部门、不同地区之间信用信息多头采集、数据交换共享困难、信用结果表示不统一等矛盾逐渐显现，有必要运用标准化手段助力形成规范、统一、协调的市场监管信用体系。开展经营主体信用监管标准体系顶层设计，摸清信用监管标准化需求，明确信用监管标准化实施路径，并开展关键技术标准研制以及关键技术标准，成为推进信用监管标准化工作的首要重点任务。</w:t>
            </w:r>
          </w:p>
          <w:p>
            <w:pPr>
              <w:pStyle w:val="null3"/>
            </w:pPr>
            <w:r>
              <w:rPr>
                <w:rFonts w:ascii="仿宋_GB2312" w:hAnsi="仿宋_GB2312" w:cs="仿宋_GB2312" w:eastAsia="仿宋_GB2312"/>
              </w:rPr>
              <w:t>本项目的服务内容具体如下：</w:t>
            </w:r>
          </w:p>
          <w:p>
            <w:pPr>
              <w:pStyle w:val="null3"/>
            </w:pPr>
            <w:r>
              <w:rPr>
                <w:rFonts w:ascii="仿宋_GB2312" w:hAnsi="仿宋_GB2312" w:cs="仿宋_GB2312" w:eastAsia="仿宋_GB2312"/>
              </w:rPr>
              <w:t>1、根据信用监管标准化需求及发展趋势，研究形成经营主体信用监管标准体系总体架构及实施路径；</w:t>
            </w:r>
          </w:p>
          <w:p>
            <w:pPr>
              <w:pStyle w:val="null3"/>
            </w:pPr>
            <w:r>
              <w:rPr>
                <w:rFonts w:ascii="仿宋_GB2312" w:hAnsi="仿宋_GB2312" w:cs="仿宋_GB2312" w:eastAsia="仿宋_GB2312"/>
              </w:rPr>
              <w:t>2、为解决经营主体信用监管标准缺乏统筹规划和顶层设计的问题，研制形成经营主体信用监管标准化通则国家标准草案，为规范有序制定和推动经营主体信用监管标准提供指导，助力构建全面完整、适用有效的经营主体信用监管标准体系，同时提供经营主体信用监管标准化工作的总体结构和标准化应用的指导。</w:t>
            </w:r>
          </w:p>
          <w:p>
            <w:pPr>
              <w:pStyle w:val="null3"/>
            </w:pPr>
            <w:r>
              <w:rPr>
                <w:rFonts w:ascii="仿宋_GB2312" w:hAnsi="仿宋_GB2312" w:cs="仿宋_GB2312" w:eastAsia="仿宋_GB2312"/>
              </w:rPr>
              <w:t>3、针对国家企业信用信息公示系统归集的涉企信息、其他政府部门依法履职中产生的涉企信息、企业依法填报公示的信息3大类数据质量进行评价，从统一和规范信用监管数据质量评价维度，形成经营主体信用监管数据质量评价国家标准草案，从而有效解决企业信用监管数据不全面、不准确、不规范以及数据治理标准缺失的问题。</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开展经营主体信用监管标准体系建设及关键技术标准研究，加强市场监管信用标准化工作的统筹规划，明确信用标准化工作重点，加快推进市场监管信用重点标准规范的制定和实施，抢占信用标准化制高点和话语权，从而有力支撑和保障市场监管信用体系规范有序发展。</w:t>
            </w:r>
          </w:p>
          <w:p>
            <w:pPr>
              <w:pStyle w:val="null3"/>
            </w:pPr>
            <w:r>
              <w:rPr>
                <w:rFonts w:ascii="仿宋_GB2312" w:hAnsi="仿宋_GB2312" w:cs="仿宋_GB2312" w:eastAsia="仿宋_GB2312"/>
              </w:rPr>
              <w:t>根据市场监管总局开展信用监管标准化工作的部署，以及本项目进度、质量的相关要求，开展经营主体信用监管标准体系总体架构标准化及实施方案研究，完成经营主体信用监管标准化通则相关标准的起草、征求意见、审查、报批和实施应用等工作，开展经营主体信用监管数据质量评价标准的预研、起草、征求意见、审查、报批和实施应用等工作，助推信用监管领域建立全国统一的信用监管规则和标准。</w:t>
            </w:r>
          </w:p>
          <w:p>
            <w:pPr>
              <w:pStyle w:val="null3"/>
            </w:pPr>
            <w:r>
              <w:rPr>
                <w:rFonts w:ascii="仿宋_GB2312" w:hAnsi="仿宋_GB2312" w:cs="仿宋_GB2312" w:eastAsia="仿宋_GB2312"/>
              </w:rPr>
              <w:t>四、最终呈现成果要求</w:t>
            </w:r>
          </w:p>
          <w:p>
            <w:pPr>
              <w:pStyle w:val="null3"/>
            </w:pPr>
            <w:r>
              <w:rPr>
                <w:rFonts w:ascii="仿宋_GB2312" w:hAnsi="仿宋_GB2312" w:cs="仿宋_GB2312" w:eastAsia="仿宋_GB2312"/>
              </w:rPr>
              <w:t>1、经营主体信用监管标准体系及标准化实施方案，含经营主体信用监管标准体系总体架构，标准化重点任务与实施建议等。</w:t>
            </w:r>
          </w:p>
          <w:p>
            <w:pPr>
              <w:pStyle w:val="null3"/>
            </w:pPr>
            <w:r>
              <w:rPr>
                <w:rFonts w:ascii="仿宋_GB2312" w:hAnsi="仿宋_GB2312" w:cs="仿宋_GB2312" w:eastAsia="仿宋_GB2312"/>
              </w:rPr>
              <w:t>2、《经营主体信用监管标准化通则》、《经营主体信用监管数据质量评价指标》（国家标准草案稿）以及建议书；</w:t>
            </w:r>
          </w:p>
          <w:p>
            <w:pPr>
              <w:pStyle w:val="null3"/>
            </w:pPr>
            <w:r>
              <w:rPr>
                <w:rFonts w:ascii="仿宋_GB2312" w:hAnsi="仿宋_GB2312" w:cs="仿宋_GB2312" w:eastAsia="仿宋_GB2312"/>
              </w:rPr>
              <w:t>3、《经营主体信用监管标准化通则》、《经营主体信用监管数据质量评价指标》（国家标准征求意见稿）以及编制说明；</w:t>
            </w:r>
          </w:p>
          <w:p>
            <w:pPr>
              <w:pStyle w:val="null3"/>
            </w:pPr>
            <w:r>
              <w:rPr>
                <w:rFonts w:ascii="仿宋_GB2312" w:hAnsi="仿宋_GB2312" w:cs="仿宋_GB2312" w:eastAsia="仿宋_GB2312"/>
              </w:rPr>
              <w:t>4、《经营主体信用监管标准化通则》、《经营主体信用监管数据质量评价指标》国家标准宣贯培训及应用指导实施方案，宣贯培训材料。</w:t>
            </w:r>
          </w:p>
          <w:p>
            <w:pPr>
              <w:pStyle w:val="null3"/>
            </w:pPr>
            <w:r>
              <w:rPr>
                <w:rFonts w:ascii="仿宋_GB2312" w:hAnsi="仿宋_GB2312" w:cs="仿宋_GB2312" w:eastAsia="仿宋_GB2312"/>
              </w:rPr>
              <w:t>五、执行标准</w:t>
            </w:r>
          </w:p>
          <w:p>
            <w:pPr>
              <w:pStyle w:val="null3"/>
            </w:pPr>
            <w:r>
              <w:rPr>
                <w:rFonts w:ascii="仿宋_GB2312" w:hAnsi="仿宋_GB2312" w:cs="仿宋_GB2312" w:eastAsia="仿宋_GB2312"/>
              </w:rPr>
              <w:t>按照GB/T 1.1-2020《标准化工作导则 第1部分：标准化文件的结构和起草规则》的要求和规定，同时，参考GB/T 20000.1《标准化工作指南》、GB/T 15624《服务标准化工作指南》、GB/T 20001.5《标准编写规则 第5部分：规范标准》等相关标准化文件资料，起草《经营主体信用监管标准化通则》、《经营主体信用监管数据质量评价指标》标准相关内容，力求使信用标准化工作符合客观规律，遵循科学性原则。</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①质量标准，符合国家行业相关标准。②验收：根据磋商文件、成交供应商响应文件和合同文本执行。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项目整体内容完成验收后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供应商应提供相关文件证明； ③社会保障资金缴纳证明：提供自2024年4月1日以来至少一个月已缴纳的社会保障资金的证明（社会保障资金缴存单据或社保机构开具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响应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实质性商务条款</w:t>
            </w:r>
          </w:p>
        </w:tc>
        <w:tc>
          <w:tcPr>
            <w:tcW w:type="dxa" w:w="3322"/>
          </w:tcPr>
          <w:p>
            <w:pPr>
              <w:pStyle w:val="null3"/>
            </w:pPr>
            <w:r>
              <w:rPr>
                <w:rFonts w:ascii="仿宋_GB2312" w:hAnsi="仿宋_GB2312" w:cs="仿宋_GB2312" w:eastAsia="仿宋_GB2312"/>
              </w:rPr>
              <w:t>满足磋商文件的实质性商务条款（服务期限、服务地点、支付约定）要求的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供应商提供针对本项目的需求分析（包括但不限于项目背景及政策分析、标准化工作要求分析等方面）。 满足磋商文件要求，无瑕疵：8分； 内容存在1处瑕疵：7分； 内容存在2处瑕疵：6分； 内容存在3处瑕疵：5分； 内容存在4处瑕疵：4分； 内容存在5处瑕疵：3分； 内容存在6处瑕疵：2分； 内容存在7处瑕疵：1分； 未提供或内容存在8处及以上瑕疵：0分。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6需求分析.docx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重难点进行分析，包括①经营主体信用监管标准缺乏统筹规划和顶层设计的问题②企业信用监管数据问题③数据治理标准缺失问题，以及针对上述问题的标准化技术解决内容。重难点分析要求：描述清晰、针对性强、需求分析内容全面透彻、结构合理、准确到位、逻辑一致、要点突出、具有前瞻性。 满足磋商文件要求，无瑕疵：15分； 内容存在1处瑕疵：13分； 内容存在2处瑕疵：11分； 内容存在3处瑕疵：9分； 内容存在4处瑕疵：7分； 内容存在5处瑕疵：5分； 内容存在6处瑕疵：3分； 内容存在7处瑕疵：1分；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7重难点分析.docx</w:t>
            </w:r>
          </w:p>
        </w:tc>
      </w:tr>
      <w:tr>
        <w:tc>
          <w:tcPr>
            <w:tcW w:type="dxa" w:w="831"/>
            <w:vMerge/>
          </w:tcPr>
          <w:p/>
        </w:tc>
        <w:tc>
          <w:tcPr>
            <w:tcW w:type="dxa" w:w="1661"/>
          </w:tcPr>
          <w:p>
            <w:pPr>
              <w:pStyle w:val="null3"/>
            </w:pPr>
            <w:r>
              <w:rPr>
                <w:rFonts w:ascii="仿宋_GB2312" w:hAnsi="仿宋_GB2312" w:cs="仿宋_GB2312" w:eastAsia="仿宋_GB2312"/>
              </w:rPr>
              <w:t>标准体系以及标准化实施方案制定</w:t>
            </w:r>
          </w:p>
        </w:tc>
        <w:tc>
          <w:tcPr>
            <w:tcW w:type="dxa" w:w="2492"/>
          </w:tcPr>
          <w:p>
            <w:pPr>
              <w:pStyle w:val="null3"/>
            </w:pPr>
            <w:r>
              <w:rPr>
                <w:rFonts w:ascii="仿宋_GB2312" w:hAnsi="仿宋_GB2312" w:cs="仿宋_GB2312" w:eastAsia="仿宋_GB2312"/>
              </w:rPr>
              <w:t>供应商应针对本项目经营主体信用监管标准体系及标准化实施方案提供详细的研制思路，包括①经营主体信用监管标准体系总体架构，②标准化重点任务③标准化实施建议等。方案应完整，内容须全面，对评审内容中的各项要求描述详细；切合本项目实际情况、内容科学合理。 满足磋商文件要求，无瑕疵：12分； 内容存在1处瑕疵：10分； 内容存在2处瑕疵：8分； 内容存在3处瑕疵：6分； 内容存在4处瑕疵：4分； 内容存在5处瑕疵：2分； 未提供或内容存在6处及以上瑕疵：0分。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8标准体系以及标准化实施方案制定.docx</w:t>
            </w:r>
          </w:p>
        </w:tc>
      </w:tr>
      <w:tr>
        <w:tc>
          <w:tcPr>
            <w:tcW w:type="dxa" w:w="831"/>
            <w:vMerge/>
          </w:tcPr>
          <w:p/>
        </w:tc>
        <w:tc>
          <w:tcPr>
            <w:tcW w:type="dxa" w:w="1661"/>
          </w:tcPr>
          <w:p>
            <w:pPr>
              <w:pStyle w:val="null3"/>
            </w:pPr>
            <w:r>
              <w:rPr>
                <w:rFonts w:ascii="仿宋_GB2312" w:hAnsi="仿宋_GB2312" w:cs="仿宋_GB2312" w:eastAsia="仿宋_GB2312"/>
              </w:rPr>
              <w:t>标准工作流程</w:t>
            </w:r>
          </w:p>
        </w:tc>
        <w:tc>
          <w:tcPr>
            <w:tcW w:type="dxa" w:w="2492"/>
          </w:tcPr>
          <w:p>
            <w:pPr>
              <w:pStyle w:val="null3"/>
            </w:pPr>
            <w:r>
              <w:rPr>
                <w:rFonts w:ascii="仿宋_GB2312" w:hAnsi="仿宋_GB2312" w:cs="仿宋_GB2312" w:eastAsia="仿宋_GB2312"/>
              </w:rPr>
              <w:t>供应商针对本项目制作各阶段工作流程，包括预研、起草、征求意见、审查、报批和实施应用等工作，形成一个规范的工作标准。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9标准工作流程.docx</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供应商针对本项目制定服务质量保障方案。包括①质量规划、目标②质量保障体系建设③具体可行的保障措施。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10服务质量保障方案.docx</w:t>
            </w:r>
          </w:p>
        </w:tc>
      </w:tr>
      <w:tr>
        <w:tc>
          <w:tcPr>
            <w:tcW w:type="dxa" w:w="831"/>
            <w:vMerge/>
          </w:tcPr>
          <w:p/>
        </w:tc>
        <w:tc>
          <w:tcPr>
            <w:tcW w:type="dxa" w:w="1661"/>
          </w:tcPr>
          <w:p>
            <w:pPr>
              <w:pStyle w:val="null3"/>
            </w:pPr>
            <w:r>
              <w:rPr>
                <w:rFonts w:ascii="仿宋_GB2312" w:hAnsi="仿宋_GB2312" w:cs="仿宋_GB2312" w:eastAsia="仿宋_GB2312"/>
              </w:rPr>
              <w:t>确保服务期的进度计划</w:t>
            </w:r>
          </w:p>
        </w:tc>
        <w:tc>
          <w:tcPr>
            <w:tcW w:type="dxa" w:w="2492"/>
          </w:tcPr>
          <w:p>
            <w:pPr>
              <w:pStyle w:val="null3"/>
            </w:pPr>
            <w:r>
              <w:rPr>
                <w:rFonts w:ascii="仿宋_GB2312" w:hAnsi="仿宋_GB2312" w:cs="仿宋_GB2312" w:eastAsia="仿宋_GB2312"/>
              </w:rPr>
              <w:t>供应商针对本项目制定进度计划方案。包括①服务进度表或服务时间节点计划②进度保障措施。进度安排应切合本项目实际情况，保障措施制定应描述详细，进度有切实保障。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11确保服务期的进度计划.docx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供应商针对本项目项目团队成员名单： ①项目团队成员需具有相关专业副高级及以上职称，每提供一人计0.5分，本项最高得3分。 注：供应商须提供职称证书作为证明材料，否则不得分。 ②项目团队人员曾主导研制国家或地方信用标准，每有一份国家或者地方信用标准是由项目团队成员作为标准第一起草人的计0.5分，本项最高得3分。 注：供应商须提供已发布的标准作为证明材料，否则不得分。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12项目团队.docx</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供应商针对本项目提供人员组织安排计划，包含组织架构、工作划分等方面。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13人员组织安排.docx</w:t>
            </w:r>
          </w:p>
        </w:tc>
      </w:tr>
      <w:tr>
        <w:tc>
          <w:tcPr>
            <w:tcW w:type="dxa" w:w="831"/>
            <w:vMerge/>
          </w:tcPr>
          <w:p/>
        </w:tc>
        <w:tc>
          <w:tcPr>
            <w:tcW w:type="dxa" w:w="1661"/>
          </w:tcPr>
          <w:p>
            <w:pPr>
              <w:pStyle w:val="null3"/>
            </w:pPr>
            <w:r>
              <w:rPr>
                <w:rFonts w:ascii="仿宋_GB2312" w:hAnsi="仿宋_GB2312" w:cs="仿宋_GB2312" w:eastAsia="仿宋_GB2312"/>
              </w:rPr>
              <w:t>服务沟通方案</w:t>
            </w:r>
          </w:p>
        </w:tc>
        <w:tc>
          <w:tcPr>
            <w:tcW w:type="dxa" w:w="2492"/>
          </w:tcPr>
          <w:p>
            <w:pPr>
              <w:pStyle w:val="null3"/>
            </w:pPr>
            <w:r>
              <w:rPr>
                <w:rFonts w:ascii="仿宋_GB2312" w:hAnsi="仿宋_GB2312" w:cs="仿宋_GB2312" w:eastAsia="仿宋_GB2312"/>
              </w:rPr>
              <w:t>供应商提供针对本项目的服务沟通方案，包括及时响应、采购人问题登记台账与及时反馈解决等。 满足磋商文件要求，无瑕疵：4分；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14服务沟通方案.docx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供应商具有2019年1月1日以来同类项目业绩，每提供一个合同得1分，最高8分。 注：1.响应文件需要同时提供合同首页、服务内容页、盖章页复印件，时间以合同签订时间为准，否则不得分。 2.同类项目：指与信用或监管相关的咨询服务项目、或信用体系或信用标准体系研制工作。</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15业绩.docx</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供应商提供针对本项目的成果交付方案，提供针对本项目的成果交付资料应全面、真实、有效，符合采购人要求。若未达到采购人标准，及时在采购人规定时间内重新提交相关交付资料。 满足磋商文件要求，无瑕疵：4分； 内容存在1处瑕疵：3分； 内容存在2处瑕疵：2分； 内存在3处瑕疵：1分；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16成果交付.docx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详见附件：6需求分析.docx</w:t>
      </w:r>
    </w:p>
    <w:p>
      <w:pPr>
        <w:pStyle w:val="null3"/>
        <w:ind w:firstLine="960"/>
      </w:pPr>
      <w:r>
        <w:rPr>
          <w:rFonts w:ascii="仿宋_GB2312" w:hAnsi="仿宋_GB2312" w:cs="仿宋_GB2312" w:eastAsia="仿宋_GB2312"/>
        </w:rPr>
        <w:t>详见附件：7重难点分析.docx</w:t>
      </w:r>
    </w:p>
    <w:p>
      <w:pPr>
        <w:pStyle w:val="null3"/>
        <w:ind w:firstLine="960"/>
      </w:pPr>
      <w:r>
        <w:rPr>
          <w:rFonts w:ascii="仿宋_GB2312" w:hAnsi="仿宋_GB2312" w:cs="仿宋_GB2312" w:eastAsia="仿宋_GB2312"/>
        </w:rPr>
        <w:t>详见附件：8标准体系以及标准化实施方案制定.docx</w:t>
      </w:r>
    </w:p>
    <w:p>
      <w:pPr>
        <w:pStyle w:val="null3"/>
        <w:ind w:firstLine="960"/>
      </w:pPr>
      <w:r>
        <w:rPr>
          <w:rFonts w:ascii="仿宋_GB2312" w:hAnsi="仿宋_GB2312" w:cs="仿宋_GB2312" w:eastAsia="仿宋_GB2312"/>
        </w:rPr>
        <w:t>详见附件：9标准工作流程.docx</w:t>
      </w:r>
    </w:p>
    <w:p>
      <w:pPr>
        <w:pStyle w:val="null3"/>
        <w:ind w:firstLine="960"/>
      </w:pPr>
      <w:r>
        <w:rPr>
          <w:rFonts w:ascii="仿宋_GB2312" w:hAnsi="仿宋_GB2312" w:cs="仿宋_GB2312" w:eastAsia="仿宋_GB2312"/>
        </w:rPr>
        <w:t>详见附件：10服务质量保障方案.docx</w:t>
      </w:r>
    </w:p>
    <w:p>
      <w:pPr>
        <w:pStyle w:val="null3"/>
        <w:ind w:firstLine="960"/>
      </w:pPr>
      <w:r>
        <w:rPr>
          <w:rFonts w:ascii="仿宋_GB2312" w:hAnsi="仿宋_GB2312" w:cs="仿宋_GB2312" w:eastAsia="仿宋_GB2312"/>
        </w:rPr>
        <w:t>详见附件：11确保服务期的进度计划.docx</w:t>
      </w:r>
    </w:p>
    <w:p>
      <w:pPr>
        <w:pStyle w:val="null3"/>
        <w:ind w:firstLine="960"/>
      </w:pPr>
      <w:r>
        <w:rPr>
          <w:rFonts w:ascii="仿宋_GB2312" w:hAnsi="仿宋_GB2312" w:cs="仿宋_GB2312" w:eastAsia="仿宋_GB2312"/>
        </w:rPr>
        <w:t>详见附件：12项目团队.docx</w:t>
      </w:r>
    </w:p>
    <w:p>
      <w:pPr>
        <w:pStyle w:val="null3"/>
        <w:ind w:firstLine="960"/>
      </w:pPr>
      <w:r>
        <w:rPr>
          <w:rFonts w:ascii="仿宋_GB2312" w:hAnsi="仿宋_GB2312" w:cs="仿宋_GB2312" w:eastAsia="仿宋_GB2312"/>
        </w:rPr>
        <w:t>详见附件：13人员组织安排.docx</w:t>
      </w:r>
    </w:p>
    <w:p>
      <w:pPr>
        <w:pStyle w:val="null3"/>
        <w:ind w:firstLine="960"/>
      </w:pPr>
      <w:r>
        <w:rPr>
          <w:rFonts w:ascii="仿宋_GB2312" w:hAnsi="仿宋_GB2312" w:cs="仿宋_GB2312" w:eastAsia="仿宋_GB2312"/>
        </w:rPr>
        <w:t>详见附件：14服务沟通方案.docx</w:t>
      </w:r>
    </w:p>
    <w:p>
      <w:pPr>
        <w:pStyle w:val="null3"/>
        <w:ind w:firstLine="960"/>
      </w:pPr>
      <w:r>
        <w:rPr>
          <w:rFonts w:ascii="仿宋_GB2312" w:hAnsi="仿宋_GB2312" w:cs="仿宋_GB2312" w:eastAsia="仿宋_GB2312"/>
        </w:rPr>
        <w:t>详见附件：15业绩.docx</w:t>
      </w:r>
    </w:p>
    <w:p>
      <w:pPr>
        <w:pStyle w:val="null3"/>
        <w:ind w:firstLine="960"/>
      </w:pPr>
      <w:r>
        <w:rPr>
          <w:rFonts w:ascii="仿宋_GB2312" w:hAnsi="仿宋_GB2312" w:cs="仿宋_GB2312" w:eastAsia="仿宋_GB2312"/>
        </w:rPr>
        <w:t>详见附件：16成果交付.docx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