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版本号：KY2025-1-52920250605001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2025年陕西省城镇标定地价及城市地价监测工作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KY2025-1-529</w:t>
      </w:r>
      <w:r>
        <w:br/>
      </w:r>
      <w:r>
        <w:br/>
      </w:r>
      <w:r>
        <w:br/>
      </w:r>
    </w:p>
    <w:p>
      <w:pPr>
        <w:pStyle w:val="null3"/>
        <w:jc w:val="center"/>
        <w:outlineLvl w:val="2"/>
      </w:pPr>
      <w:r>
        <w:rPr>
          <w:rFonts w:ascii="仿宋_GB2312" w:hAnsi="仿宋_GB2312" w:cs="仿宋_GB2312" w:eastAsia="仿宋_GB2312"/>
          <w:sz w:val="28"/>
          <w:b/>
        </w:rPr>
        <w:t>陕西省国土整治中心（陕西省土地科技创新中心）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陕西省国土整治中心（陕西省土地科技创新中心）</w:t>
      </w:r>
      <w:r>
        <w:rPr>
          <w:rFonts w:ascii="仿宋_GB2312" w:hAnsi="仿宋_GB2312" w:cs="仿宋_GB2312" w:eastAsia="仿宋_GB2312"/>
        </w:rPr>
        <w:t>委托，拟对</w:t>
      </w:r>
      <w:r>
        <w:rPr>
          <w:rFonts w:ascii="仿宋_GB2312" w:hAnsi="仿宋_GB2312" w:cs="仿宋_GB2312" w:eastAsia="仿宋_GB2312"/>
        </w:rPr>
        <w:t>2025年陕西省城镇标定地价及城市地价监测工作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KY2025-1-529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2025年陕西省城镇标定地价及城市地价监测工作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陕西省国土整治中心（陕西省土地科技创新中心）2025年陕西省城镇标定地价及城市地价监测工作项目，1项，具体内容详见第3章。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4、社会保障资金缴纳证明：提供2024年5月至今已缴存的至少一个月的社会保障资金缴存单据或社保机构开具的社会保险参保缴费情况证明，依法不需要缴纳社会保障资金的单位应提供相关证明材料。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8、特定资格：供应商应具备省级自然资源主管部门出具的关于土地估价机构的备案函。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陕西省国土整治中心（陕西省土地科技创新中心）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西安市高新路52号高科大厦6楼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029-89583235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尚娇、韩婷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银行账号：86113010750181502000033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中标金额向采购代理机构交纳中标服务费，交费金额参照国家计委颁布的《招标代理服务收费管理暂行办法》（计价格[2002]1980号）及发改办价格[2003]857号文件的规定标准收取； 2、本项目中标服务费按服务计取。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陕西省国土整治中心（陕西省土地科技创新中心）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陕西省国土整治中心（陕西省土地科技创新中心）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陕西省国土整治中心（陕西省土地科技创新中心）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联系人：尚娇、韩婷</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陕西省国土整治中心（陕西省土地科技创新中心）2025年陕西省城镇标定地价及城市地价监测工作项目，1项，具体内容详见服务要求。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2025年陕西省城镇标定地价及城市地价监测工作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标的名称：2025年陕西省城镇标定地价及城市地价监测工作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1"/>
              <w:jc w:val="left"/>
            </w:pPr>
            <w:r>
              <w:rPr>
                <w:rFonts w:ascii="仿宋_GB2312" w:hAnsi="仿宋_GB2312" w:cs="仿宋_GB2312" w:eastAsia="仿宋_GB2312"/>
                <w:sz w:val="24"/>
                <w:color w:val="000000"/>
              </w:rPr>
              <w:t>（一）编制《陕西省城镇标定地价更新与调整技术指南》、《陕西省城镇标定地价更新与调整成果汇交规范》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组织并指导</w:t>
            </w:r>
            <w:r>
              <w:rPr>
                <w:rFonts w:ascii="仿宋_GB2312" w:hAnsi="仿宋_GB2312" w:cs="仿宋_GB2312" w:eastAsia="仿宋_GB2312"/>
                <w:sz w:val="24"/>
              </w:rPr>
              <w:t>10个市及杨凌示范区</w:t>
            </w:r>
            <w:r>
              <w:rPr>
                <w:rFonts w:ascii="仿宋_GB2312" w:hAnsi="仿宋_GB2312" w:cs="仿宋_GB2312" w:eastAsia="仿宋_GB2312"/>
                <w:sz w:val="24"/>
              </w:rPr>
              <w:t>开展</w:t>
            </w:r>
            <w:r>
              <w:rPr>
                <w:rFonts w:ascii="仿宋_GB2312" w:hAnsi="仿宋_GB2312" w:cs="仿宋_GB2312" w:eastAsia="仿宋_GB2312"/>
                <w:sz w:val="24"/>
              </w:rPr>
              <w:t>城镇标定地价更新工作</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对提交的标定地价更新成果，按照标定地价规程要求开展审核汇总，从规范性、准确性、符合性等方面对文字报告、图件、数据成果等逐一开展审核，对成果存在问题进行指导修改，同时配合完成全省城镇标定地价验收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）形成陕西省城镇标定地价汇总分析成果，包括文字报告、统计表格、图件、数据库等。</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）督导</w:t>
            </w:r>
            <w:r>
              <w:rPr>
                <w:rFonts w:ascii="仿宋_GB2312" w:hAnsi="仿宋_GB2312" w:cs="仿宋_GB2312" w:eastAsia="仿宋_GB2312"/>
                <w:sz w:val="24"/>
                <w:color w:val="000000"/>
              </w:rPr>
              <w:t>10个市及杨凌示范区按约定内容与规范格式向社会公布，</w:t>
            </w:r>
            <w:r>
              <w:rPr>
                <w:rFonts w:ascii="仿宋_GB2312" w:hAnsi="仿宋_GB2312" w:cs="仿宋_GB2312" w:eastAsia="仿宋_GB2312"/>
                <w:sz w:val="24"/>
                <w:color w:val="000000"/>
              </w:rPr>
              <w:t>同时</w:t>
            </w:r>
            <w:r>
              <w:rPr>
                <w:rFonts w:ascii="仿宋_GB2312" w:hAnsi="仿宋_GB2312" w:cs="仿宋_GB2312" w:eastAsia="仿宋_GB2312"/>
                <w:sz w:val="24"/>
                <w:color w:val="000000"/>
              </w:rPr>
              <w:t>完成城镇标定地价更新成果备案，形成区域内土地市场的正常价值参考。</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）组织实施</w:t>
            </w:r>
            <w:r>
              <w:rPr>
                <w:rFonts w:ascii="仿宋_GB2312" w:hAnsi="仿宋_GB2312" w:cs="仿宋_GB2312" w:eastAsia="仿宋_GB2312"/>
                <w:sz w:val="24"/>
                <w:color w:val="000000"/>
              </w:rPr>
              <w:t>2025年全省城市地价动态监测工作，更新完善省级技术规范和工作平台操作说明，编制陕西省城市地价动态监测实施方案。</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六</w:t>
            </w:r>
            <w:r>
              <w:rPr>
                <w:rFonts w:ascii="仿宋_GB2312" w:hAnsi="仿宋_GB2312" w:cs="仿宋_GB2312" w:eastAsia="仿宋_GB2312"/>
                <w:sz w:val="24"/>
                <w:color w:val="000000"/>
              </w:rPr>
              <w:t>）指导西安、榆林、咸阳、铜川、宝鸡、渭南、延安、安康、商洛、华阴、韩城兴平、神木、彬州、府谷县、杨凌示范区</w:t>
            </w:r>
            <w:r>
              <w:rPr>
                <w:rFonts w:ascii="仿宋_GB2312" w:hAnsi="仿宋_GB2312" w:cs="仿宋_GB2312" w:eastAsia="仿宋_GB2312"/>
                <w:sz w:val="24"/>
                <w:color w:val="000000"/>
              </w:rPr>
              <w:t>等省厅确定的</w:t>
            </w:r>
            <w:r>
              <w:rPr>
                <w:rFonts w:ascii="仿宋_GB2312" w:hAnsi="仿宋_GB2312" w:cs="仿宋_GB2312" w:eastAsia="仿宋_GB2312"/>
                <w:sz w:val="24"/>
                <w:color w:val="000000"/>
              </w:rPr>
              <w:t>监测市（县区）开展城市地价动态监测常态化测算及维护工作。</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七</w:t>
            </w:r>
            <w:r>
              <w:rPr>
                <w:rFonts w:ascii="仿宋_GB2312" w:hAnsi="仿宋_GB2312" w:cs="仿宋_GB2312" w:eastAsia="仿宋_GB2312"/>
                <w:sz w:val="24"/>
                <w:color w:val="000000"/>
              </w:rPr>
              <w:t>）每个季度审核、整理、汇总、分析省级数据，形成省级城市地价监测季度数据汇总成果及省级地价状况分析报告。</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八</w:t>
            </w:r>
            <w:r>
              <w:rPr>
                <w:rFonts w:ascii="仿宋_GB2312" w:hAnsi="仿宋_GB2312" w:cs="仿宋_GB2312" w:eastAsia="仿宋_GB2312"/>
                <w:sz w:val="24"/>
                <w:color w:val="000000"/>
              </w:rPr>
              <w:t>）审核、整理、汇总、分析各监测城市年度数据，形成省级城市地价监测年度数据汇总成果及省级地价状况年度分析报告。</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九</w:t>
            </w:r>
            <w:r>
              <w:rPr>
                <w:rFonts w:ascii="仿宋_GB2312" w:hAnsi="仿宋_GB2312" w:cs="仿宋_GB2312" w:eastAsia="仿宋_GB2312"/>
                <w:sz w:val="24"/>
                <w:color w:val="000000"/>
              </w:rPr>
              <w:t>）对接国家端数据库，负责省级工作平台软件维护工作。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十</w:t>
            </w:r>
            <w:r>
              <w:rPr>
                <w:rFonts w:ascii="仿宋_GB2312" w:hAnsi="仿宋_GB2312" w:cs="仿宋_GB2312" w:eastAsia="仿宋_GB2312"/>
                <w:sz w:val="24"/>
                <w:color w:val="000000"/>
              </w:rPr>
              <w:t>）公示地价查询平台系统日常更新</w:t>
            </w:r>
            <w:r>
              <w:rPr>
                <w:rFonts w:ascii="仿宋_GB2312" w:hAnsi="仿宋_GB2312" w:cs="仿宋_GB2312" w:eastAsia="仿宋_GB2312"/>
                <w:sz w:val="24"/>
                <w:color w:val="000000"/>
              </w:rPr>
              <w:t>，</w:t>
            </w:r>
            <w:r>
              <w:rPr>
                <w:rFonts w:ascii="仿宋_GB2312" w:hAnsi="仿宋_GB2312" w:cs="仿宋_GB2312" w:eastAsia="仿宋_GB2312"/>
                <w:sz w:val="24"/>
              </w:rPr>
              <w:t>完成省国土整治中心布置的其他相关工作。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服务期限：于2026年3月31日前完成项目并进行成果提交。</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陕西省国土整治中心（陕西省土地科技创新中心）指定地点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1、供应商需要在线提交所有通过电子化交易平台实施的政府采购项目的响应文件，同时，线下提交响应文 件正本 壹 份、副本 贰 份、电子版 壹 份（U盘一套标明供应商名称，单独密封），纸质文件建议双面打印。 2、线下纸质文件递交截止时间：同在线递交电子响应文件截止时间一致；线下纸质文件递交地点：西安市雁展路1111号莱安中心T6-15层。（如需邮寄，建议顺丰速运，并将单位名称、联系人、电话及运单号发送至809502949@qq.com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供应商应具备省级自然资源主管部门出具的关于土地估价机构的备案函。</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投标函 中小企业声明函 残疾人福利性单位声明函 报价表、分项报价表.docx 保证金交纳凭证.docx 标的清单 投标文件封面 服务内容及服务要求应答表.docx 投标人承诺书.docx 监狱企业的证明文件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投标函 中小企业声明函 残疾人福利性单位声明函 报价表、分项报价表.docx 保证金交纳凭证.docx 标的清单 投标文件封面 服务内容及服务要求应答表.docx 投标人承诺书.docx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投标函 中小企业声明函 残疾人福利性单位声明函 报价表、分项报价表.docx 保证金交纳凭证.docx 标的清单 服务内容及服务要求应答表.docx 投标文件封面 投标人承诺书.docx 监狱企业的证明文件 商务条款响应说明.docx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投标人针对本项目需求有充分理解与认识，内容至少包含：①项目背景分析；②工作范围、工作任务；③成果要求理解与认识等。 评审标准：项目需求理解各部分内容全面完整、阐述条理清晰详尽、符合本项目采购需求计6分，每缺少一项内容扣2分，每有一项内容存在缺陷扣1分，扣完为止。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项目重难点分析及解决方案</w:t>
            </w:r>
          </w:p>
        </w:tc>
        <w:tc>
          <w:tcPr>
            <w:tcW w:type="dxa" w:w="2492"/>
          </w:tcPr>
          <w:p>
            <w:pPr>
              <w:pStyle w:val="null3"/>
            </w:pPr>
            <w:r>
              <w:rPr>
                <w:rFonts w:ascii="仿宋_GB2312" w:hAnsi="仿宋_GB2312" w:cs="仿宋_GB2312" w:eastAsia="仿宋_GB2312"/>
              </w:rPr>
              <w:t>投标人针对本项目提供重点、难点分析及解决方案，内容至少包含：①重点、难点分析；②风险点分析；③解决方案；④合理化建议等。 评审标准：项目重难点分析及解决方案各部分内容全面完整、阐述条理清晰详尽、符合本项目采购需求计8分，每缺少一项内容扣2分，每有一项内容存在缺陷扣1分，扣完为止。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投标人针对本项目提供整体实施方案，内容至少包含：①总体工作思路；②总体工作计划；③具体工作目标及内容；④实施标准和方法；⑤服务实施细则等。 评审标准：总体服务方案各部分内容全面详细、阐述条理清晰详尽、符合本项目采购需求计15分，每缺一项内容扣3分，每有一项内容存在缺陷扣1分，扣完为止。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投标人针对本项目提供管理制度，内容至少包含：①质量控制制度；②档案管理制度；③风险控制制度等。 评审标准：管理制度各部分内容全面详细、阐述条理清晰详尽、符合本项目采购需求计6分，每缺一项内容扣2分，每有一项内容存在缺陷扣1分，扣完为止。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投标人针对本项目提供质量保障措施，内容至少包含：①质量目标；②质量保障措施；③成果文件质量控制措施等。 评审标准：质量保障措施各部分内容全面详细、阐述条理清晰详尽、符合本项目采购需求计6分，每缺一项内容扣2分，每有一项内容存在缺陷扣1分，扣完为止。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投标人针对本项目提供进度保证措施，内容至少包含：①实施进度方案；②进度保障措施；③工作阶段任务划分等。 评审标准：进度保证措施各部分内容全面详细、阐述条理清晰详尽、符合本项目采购需求计6分，每缺一项内容扣2分，每有一项内容存在缺陷扣1分，扣完为止。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投标人针对本项目提供保密措施，内容至少包含：①保密制度；②人员保密管理；③保密承诺等。 评审标准：保密措施各部分内容全面详细、阐述条理清晰详尽、符合本项目采购需求计6分，每缺一项内容扣2分，每有一项内容存在缺陷扣1分，扣完为止。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投标人针对本项目提供服务人员的配备情况，内容至少包含：①项目组织架构及岗位职责；②团队人员配置清单；③团队管理制度；④团队监管机制等。 评审标准：项目团队配置各部分内容全面详细、阐述条理清晰详尽、符合本项目采购需求计4分，每缺一项内容扣1分，每有一项内容存在缺陷扣0.5分，扣完为止。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团队人员证书</w:t>
            </w:r>
          </w:p>
        </w:tc>
        <w:tc>
          <w:tcPr>
            <w:tcW w:type="dxa" w:w="2492"/>
          </w:tcPr>
          <w:p>
            <w:pPr>
              <w:pStyle w:val="null3"/>
            </w:pPr>
            <w:r>
              <w:rPr>
                <w:rFonts w:ascii="仿宋_GB2312" w:hAnsi="仿宋_GB2312" w:cs="仿宋_GB2312" w:eastAsia="仿宋_GB2312"/>
              </w:rPr>
              <w:t>①拟派项目负责人具有高级职称计1分，没有不计分； ②除项目负责人外的工作组成员具有高级职称的计2分，具有中级职称的计1分，本项最高5分； ③拟派团队人员具有土地估价师证书的，每提供一个计0.5分，最高4分。 注：须提供以上人员相关证书及与投标人存在合法劳动关系的证明，提供上述资料扫描件并加盖投标人公章，未按上述要求提供不计分。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投标人针对本项目提供服务承诺，内容至少包含：①服务质量承诺；②成果文件符合相关技术要求；③按管理要求完成各类备案；④与采购人能有良好工作配合的承诺等。 评审标准：服务承诺各部分内容全面详细、阐述条理清晰详尽、符合本项目采购需求计8分，每缺一项内容扣2分，每有一项内容存在缺陷扣1分，扣完为止。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投标人提供2022年1月1日至今（以合同签订时间为准）城镇标定地价或城市地价监测项目业绩，每提供一份计3分，最高15分； 备注：以上业绩须提供投标人与最终用户签订的合同关键页等证明材料（提供合同关键页复印件并加盖投标人公章），并提供甲方的验收意见或甲方盖章确认的工作完成证明，未提供合同复印件、验收意见或甲方工作完成证明的业绩，视为无效。</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 中小企业声明函 残疾人福利性单位声明函 报价表、分项报价表.docx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