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版本号：ZCTH2025-05-03820250609001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公务用车管理监督平台运维服务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ZCTH2025-05-038</w:t>
      </w:r>
      <w:r>
        <w:br/>
      </w:r>
      <w:r>
        <w:br/>
      </w:r>
      <w:r>
        <w:br/>
      </w:r>
    </w:p>
    <w:p>
      <w:pPr>
        <w:pStyle w:val="null3"/>
        <w:jc w:val="center"/>
        <w:outlineLvl w:val="2"/>
      </w:pPr>
      <w:r>
        <w:rPr>
          <w:rFonts w:ascii="仿宋_GB2312" w:hAnsi="仿宋_GB2312" w:cs="仿宋_GB2312" w:eastAsia="仿宋_GB2312"/>
          <w:sz w:val="28"/>
          <w:b/>
        </w:rPr>
        <w:t>陕西省机关事务服务中心</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陕西省机关事务服务中心</w:t>
      </w:r>
      <w:r>
        <w:rPr>
          <w:rFonts w:ascii="仿宋_GB2312" w:hAnsi="仿宋_GB2312" w:cs="仿宋_GB2312" w:eastAsia="仿宋_GB2312"/>
        </w:rPr>
        <w:t>委托，拟对</w:t>
      </w:r>
      <w:r>
        <w:rPr>
          <w:rFonts w:ascii="仿宋_GB2312" w:hAnsi="仿宋_GB2312" w:cs="仿宋_GB2312" w:eastAsia="仿宋_GB2312"/>
        </w:rPr>
        <w:t>公务用车管理监督平台运维服务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ZCTH2025-05-038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公务用车管理监督平台运维服务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公务用车管理监督平台运维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采购包1（公务用车管理监督平台运维服务）：属于专门面向中小企业采购。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被授权人提交响应文件截止时间前半年内任意一个月的社会保障资金（养老保险或医疗保险）的缴纳证明或有效期内的劳动合同及被授权人身份证。</w:t>
      </w:r>
    </w:p>
    <w:p>
      <w:pPr>
        <w:pStyle w:val="null3"/>
      </w:pPr>
      <w:r>
        <w:rPr>
          <w:rFonts w:ascii="仿宋_GB2312" w:hAnsi="仿宋_GB2312" w:cs="仿宋_GB2312" w:eastAsia="仿宋_GB2312"/>
        </w:rPr>
        <w:t>3、财务状况报告：提供2023年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4、税收缴纳证明：提供投标文件截止时间前一年内至少一个月已缴纳的纳税证明或完税证明（任意税种）；依法免税的投标人应提供相关文件证明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陕西省机关事务服务中心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029-63912658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黄静宜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 [2003]857号通 知规定，由成交供应商支付代理服务费。 2、支付方式：成交供应商应在领取通知书的同时，支付本项目代理服务费。收款账户如下：收款单位：陕西中诚天和项目管理有限公司； 开户银行：中国建设银行股份有限公司西安高新自贸区支行； 银行账号：61050110066700001164。注：代理服务费不足捌仟元按捌仟元整收取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陕西省机关事务服务中心</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小组综合资料审查、现场检查和用户反馈情况，对运维服务进行评定。若各项验收标准均达标，评定为验收通过；若存在部分不达标情况，根据问题严重程度要求运维公司限期整改，整改完成后再次进行验收；若存在严重问题或多次整改仍不达标，评定为验收不通过，并按照合同约定追究运维公司违约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地址：西安市高新区锦业一路52号宝德云谷国际B座14层1406-6室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公务用车管理监督平台运维服务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一、服务内容</w:t>
            </w:r>
          </w:p>
          <w:p>
            <w:pPr>
              <w:pStyle w:val="null3"/>
              <w:jc w:val="left"/>
            </w:pPr>
            <w:r>
              <w:rPr>
                <w:rFonts w:ascii="仿宋_GB2312" w:hAnsi="仿宋_GB2312" w:cs="仿宋_GB2312" w:eastAsia="仿宋_GB2312"/>
                <w:sz w:val="24"/>
              </w:rPr>
              <w:t>本项目聚焦陕西省省本级公务用车信息化平台，为其监管的</w:t>
            </w:r>
            <w:r>
              <w:rPr>
                <w:rFonts w:ascii="仿宋_GB2312" w:hAnsi="仿宋_GB2312" w:cs="仿宋_GB2312" w:eastAsia="仿宋_GB2312"/>
                <w:sz w:val="24"/>
              </w:rPr>
              <w:t>2339</w:t>
            </w:r>
            <w:r>
              <w:rPr>
                <w:rFonts w:ascii="仿宋_GB2312" w:hAnsi="仿宋_GB2312" w:cs="仿宋_GB2312" w:eastAsia="仿宋_GB2312"/>
                <w:sz w:val="24"/>
              </w:rPr>
              <w:t>辆省本级机关公务用车提供全面、专业、高效的设备维护及平台系统运行维护服务，主要涵盖以下四个关键部分：</w:t>
            </w:r>
          </w:p>
          <w:p>
            <w:pPr>
              <w:pStyle w:val="null3"/>
              <w:jc w:val="left"/>
            </w:pPr>
            <w:r>
              <w:rPr>
                <w:rFonts w:ascii="仿宋_GB2312" w:hAnsi="仿宋_GB2312" w:cs="仿宋_GB2312" w:eastAsia="仿宋_GB2312"/>
                <w:sz w:val="24"/>
              </w:rPr>
              <w:t>（一）信息通信服务</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短信服务：为网上车辆派遣和调度提供稳定可靠的短信通知服务，确保平台系统中车辆调度、状态更新等各类信息能及时推送给相关人员。构建完善的重发机制，一旦短信发送失败，系统自动按照预设规则重新发送，避免重要信息遗漏。对于群发短信设置</w:t>
            </w:r>
            <w:r>
              <w:rPr>
                <w:rFonts w:ascii="仿宋_GB2312" w:hAnsi="仿宋_GB2312" w:cs="仿宋_GB2312" w:eastAsia="仿宋_GB2312"/>
                <w:sz w:val="24"/>
              </w:rPr>
              <w:t>t</w:t>
            </w:r>
            <w:r>
              <w:rPr>
                <w:rFonts w:ascii="仿宋_GB2312" w:hAnsi="仿宋_GB2312" w:cs="仿宋_GB2312" w:eastAsia="仿宋_GB2312"/>
                <w:sz w:val="24"/>
              </w:rPr>
              <w:t>+1</w:t>
            </w:r>
            <w:r>
              <w:rPr>
                <w:rFonts w:ascii="仿宋_GB2312" w:hAnsi="仿宋_GB2312" w:cs="仿宋_GB2312" w:eastAsia="仿宋_GB2312"/>
                <w:sz w:val="24"/>
              </w:rPr>
              <w:t>天延时发送，并设置审核机制确保短信内容范围合规。</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物联网卡流量数据服务：提供高品质的卫星定位终端物联网卡流量数据服务，满足车辆定位监控系统、设备远程升级维护的数据通讯需求。保障物联网卡网络连接稳定，流量充足，为车辆定位信息的实时传输和设备远程升级的顺利开展提供坚实的数据通讯基础，助力平台实现对车辆的精准监控和设备的高效维护。</w:t>
            </w:r>
          </w:p>
          <w:p>
            <w:pPr>
              <w:pStyle w:val="null3"/>
              <w:jc w:val="left"/>
            </w:pPr>
            <w:r>
              <w:rPr>
                <w:rFonts w:ascii="仿宋_GB2312" w:hAnsi="仿宋_GB2312" w:cs="仿宋_GB2312" w:eastAsia="仿宋_GB2312"/>
                <w:sz w:val="24"/>
              </w:rPr>
              <w:t>（二）软件系统服务</w:t>
            </w:r>
          </w:p>
          <w:p>
            <w:pPr>
              <w:pStyle w:val="null3"/>
              <w:jc w:val="left"/>
            </w:pPr>
            <w:r>
              <w:rPr>
                <w:rFonts w:ascii="仿宋_GB2312" w:hAnsi="仿宋_GB2312" w:cs="仿宋_GB2312" w:eastAsia="仿宋_GB2312"/>
                <w:sz w:val="24"/>
              </w:rPr>
              <w:t>定制化开发和升级服务：致力于推动平台的持续迭代升级，每年免费开发</w:t>
            </w:r>
            <w:r>
              <w:rPr>
                <w:rFonts w:ascii="仿宋_GB2312" w:hAnsi="仿宋_GB2312" w:cs="仿宋_GB2312" w:eastAsia="仿宋_GB2312"/>
                <w:sz w:val="24"/>
              </w:rPr>
              <w:t>5</w:t>
            </w:r>
            <w:r>
              <w:rPr>
                <w:rFonts w:ascii="仿宋_GB2312" w:hAnsi="仿宋_GB2312" w:cs="仿宋_GB2312" w:eastAsia="仿宋_GB2312"/>
                <w:sz w:val="24"/>
              </w:rPr>
              <w:t>个以内新功能（不包含原有功能优化）。新功能开发紧密结合陕西省公务用车管理实际需求与行业发展趋势，不断提升平台的功能和性能。每年免费提供</w:t>
            </w:r>
            <w:r>
              <w:rPr>
                <w:rFonts w:ascii="仿宋_GB2312" w:hAnsi="仿宋_GB2312" w:cs="仿宋_GB2312" w:eastAsia="仿宋_GB2312"/>
                <w:sz w:val="24"/>
              </w:rPr>
              <w:t>5</w:t>
            </w:r>
            <w:r>
              <w:rPr>
                <w:rFonts w:ascii="仿宋_GB2312" w:hAnsi="仿宋_GB2312" w:cs="仿宋_GB2312" w:eastAsia="仿宋_GB2312"/>
                <w:sz w:val="24"/>
              </w:rPr>
              <w:t>个以内不同平台的对接服务，实现与其他相关系统的数据共享和业务协同，提升公务用车管理的信息化水平和工作效率。系统版本更新严格遵循既定时间安排，不停服发版安排在周二和周四</w:t>
            </w:r>
            <w:r>
              <w:rPr>
                <w:rFonts w:ascii="仿宋_GB2312" w:hAnsi="仿宋_GB2312" w:cs="仿宋_GB2312" w:eastAsia="仿宋_GB2312"/>
                <w:sz w:val="24"/>
              </w:rPr>
              <w:t>20:00</w:t>
            </w:r>
            <w:r>
              <w:rPr>
                <w:rFonts w:ascii="仿宋_GB2312" w:hAnsi="仿宋_GB2312" w:cs="仿宋_GB2312" w:eastAsia="仿宋_GB2312"/>
                <w:sz w:val="24"/>
              </w:rPr>
              <w:t>之后，停服发版在周五</w:t>
            </w:r>
            <w:r>
              <w:rPr>
                <w:rFonts w:ascii="仿宋_GB2312" w:hAnsi="仿宋_GB2312" w:cs="仿宋_GB2312" w:eastAsia="仿宋_GB2312"/>
                <w:sz w:val="24"/>
              </w:rPr>
              <w:t>00:00</w:t>
            </w:r>
            <w:r>
              <w:rPr>
                <w:rFonts w:ascii="仿宋_GB2312" w:hAnsi="仿宋_GB2312" w:cs="仿宋_GB2312" w:eastAsia="仿宋_GB2312"/>
                <w:sz w:val="24"/>
              </w:rPr>
              <w:t>之后，选择用户使用频率较低的时段进行，最大程度减少版本更新对平台正常使用的影响。</w:t>
            </w:r>
          </w:p>
          <w:p>
            <w:pPr>
              <w:pStyle w:val="null3"/>
              <w:jc w:val="left"/>
            </w:pPr>
            <w:r>
              <w:rPr>
                <w:rFonts w:ascii="仿宋_GB2312" w:hAnsi="仿宋_GB2312" w:cs="仿宋_GB2312" w:eastAsia="仿宋_GB2312"/>
                <w:sz w:val="24"/>
              </w:rPr>
              <w:t>（三）日常维护服务</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网络、服务器及数据日常运维</w:t>
            </w:r>
          </w:p>
          <w:p>
            <w:pPr>
              <w:pStyle w:val="null3"/>
              <w:jc w:val="left"/>
            </w:pPr>
            <w:r>
              <w:rPr>
                <w:rFonts w:ascii="仿宋_GB2312" w:hAnsi="仿宋_GB2312" w:cs="仿宋_GB2312" w:eastAsia="仿宋_GB2312"/>
                <w:sz w:val="24"/>
              </w:rPr>
              <w:t>基础设施维护：负责服务器、网络、安全设备、数据库的日常维护工作。定期检查和优化服务器，保障其稳定运行；监控和调试网络，确保网络畅通；更新和配置安全设备，提升系统安全防护能力；维护数据库，确保数据的完整性和可用性。</w:t>
            </w:r>
          </w:p>
          <w:p>
            <w:pPr>
              <w:pStyle w:val="null3"/>
              <w:jc w:val="left"/>
            </w:pPr>
            <w:r>
              <w:rPr>
                <w:rFonts w:ascii="仿宋_GB2312" w:hAnsi="仿宋_GB2312" w:cs="仿宋_GB2312" w:eastAsia="仿宋_GB2312"/>
                <w:sz w:val="24"/>
              </w:rPr>
              <w:t>数据管理：提供数据备份与恢复服务，每周进行数据库维护，每日执行一次全量备份，确保数据在出现异常时能够及时恢复。采用数据传输加密技术，保障数据传输安全。实现特定用户对特定数据库的访问，并满足高强度密码复杂性要求。</w:t>
            </w:r>
          </w:p>
          <w:p>
            <w:pPr>
              <w:pStyle w:val="null3"/>
              <w:jc w:val="left"/>
            </w:pPr>
            <w:r>
              <w:rPr>
                <w:rFonts w:ascii="仿宋_GB2312" w:hAnsi="仿宋_GB2312" w:cs="仿宋_GB2312" w:eastAsia="仿宋_GB2312"/>
                <w:sz w:val="24"/>
              </w:rPr>
              <w:t>人员服务：安排</w:t>
            </w:r>
            <w:r>
              <w:rPr>
                <w:rFonts w:ascii="仿宋_GB2312" w:hAnsi="仿宋_GB2312" w:cs="仿宋_GB2312" w:eastAsia="仿宋_GB2312"/>
                <w:sz w:val="24"/>
              </w:rPr>
              <w:t>2</w:t>
            </w:r>
            <w:r>
              <w:rPr>
                <w:rFonts w:ascii="仿宋_GB2312" w:hAnsi="仿宋_GB2312" w:cs="仿宋_GB2312" w:eastAsia="仿宋_GB2312"/>
                <w:sz w:val="24"/>
              </w:rPr>
              <w:t>名专业客服人员提供</w:t>
            </w:r>
            <w:r>
              <w:rPr>
                <w:rFonts w:ascii="仿宋_GB2312" w:hAnsi="仿宋_GB2312" w:cs="仿宋_GB2312" w:eastAsia="仿宋_GB2312"/>
                <w:sz w:val="24"/>
              </w:rPr>
              <w:t>24</w:t>
            </w:r>
            <w:r>
              <w:rPr>
                <w:rFonts w:ascii="仿宋_GB2312" w:hAnsi="仿宋_GB2312" w:cs="仿宋_GB2312" w:eastAsia="仿宋_GB2312"/>
                <w:sz w:val="24"/>
              </w:rPr>
              <w:t>小时对接服务，随时响应用户的咨询和问题反馈。按需为省本级提供免费现场培训，培训内容包括平台使用、操作技巧、日常维护等；免费承接省级相关单位前往公司的学习培训需求。每周对服务器、网络、安全设备等进行日常监控维护，</w:t>
            </w:r>
            <w:r>
              <w:rPr>
                <w:rFonts w:ascii="仿宋_GB2312" w:hAnsi="仿宋_GB2312" w:cs="仿宋_GB2312" w:eastAsia="仿宋_GB2312"/>
                <w:sz w:val="24"/>
              </w:rPr>
              <w:t>2</w:t>
            </w:r>
            <w:r>
              <w:rPr>
                <w:rFonts w:ascii="仿宋_GB2312" w:hAnsi="仿宋_GB2312" w:cs="仿宋_GB2312" w:eastAsia="仿宋_GB2312"/>
                <w:sz w:val="24"/>
              </w:rPr>
              <w:t>小时内解决服务器问题，每日做好巡检记录，每周提供维护报告和服务器巡检报告，让用户及时了解系统运行状况。</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系统安全管理维护</w:t>
            </w:r>
          </w:p>
          <w:p>
            <w:pPr>
              <w:pStyle w:val="null3"/>
              <w:jc w:val="left"/>
            </w:pPr>
            <w:r>
              <w:rPr>
                <w:rFonts w:ascii="仿宋_GB2312" w:hAnsi="仿宋_GB2312" w:cs="仿宋_GB2312" w:eastAsia="仿宋_GB2312"/>
                <w:sz w:val="24"/>
              </w:rPr>
              <w:t>密码安全管理：建立严格的密码策略，确保账户密码具备高强度、复杂性和唯一性。每月进行弱密码口令检测，生成详细报告并强制修改弱口令账号，通过短信通知用户修正密码，从源头保障账户安全。</w:t>
            </w:r>
          </w:p>
          <w:p>
            <w:pPr>
              <w:pStyle w:val="null3"/>
              <w:jc w:val="left"/>
            </w:pPr>
            <w:r>
              <w:rPr>
                <w:rFonts w:ascii="仿宋_GB2312" w:hAnsi="仿宋_GB2312" w:cs="仿宋_GB2312" w:eastAsia="仿宋_GB2312"/>
                <w:sz w:val="24"/>
              </w:rPr>
              <w:t>访问权限管理：严格控制远程登录权限，采用多重认证方式（如用户名密码认证、验证码认证、密钥认证等），确保只有授权人员能够远程访问系统。根据用户角色和职责精细分配访问权限，防止越权操作。</w:t>
            </w:r>
          </w:p>
          <w:p>
            <w:pPr>
              <w:pStyle w:val="null3"/>
              <w:jc w:val="left"/>
            </w:pPr>
            <w:r>
              <w:rPr>
                <w:rFonts w:ascii="仿宋_GB2312" w:hAnsi="仿宋_GB2312" w:cs="仿宋_GB2312" w:eastAsia="仿宋_GB2312"/>
                <w:sz w:val="24"/>
              </w:rPr>
              <w:t>安全漏洞管理：利用漏洞扫描工具定期对</w:t>
            </w:r>
            <w:r>
              <w:rPr>
                <w:rFonts w:ascii="仿宋_GB2312" w:hAnsi="仿宋_GB2312" w:cs="仿宋_GB2312" w:eastAsia="仿宋_GB2312"/>
                <w:sz w:val="24"/>
              </w:rPr>
              <w:t>Web</w:t>
            </w:r>
            <w:r>
              <w:rPr>
                <w:rFonts w:ascii="仿宋_GB2312" w:hAnsi="仿宋_GB2312" w:cs="仿宋_GB2312" w:eastAsia="仿宋_GB2312"/>
                <w:sz w:val="24"/>
              </w:rPr>
              <w:t>服务进行全方位扫描，及时发现并修复安全漏洞。详尽记录每周安全巡检结果，对数据库漏扫报告中中危及以上漏洞及时修复，严重风险必须整改，中高危风险原则上整改，无法整改的采取加固及风险抑制措施，修复时间严格按照紧急漏洞</w:t>
            </w:r>
            <w:r>
              <w:rPr>
                <w:rFonts w:ascii="仿宋_GB2312" w:hAnsi="仿宋_GB2312" w:cs="仿宋_GB2312" w:eastAsia="仿宋_GB2312"/>
                <w:sz w:val="24"/>
              </w:rPr>
              <w:t>2</w:t>
            </w:r>
            <w:r>
              <w:rPr>
                <w:rFonts w:ascii="仿宋_GB2312" w:hAnsi="仿宋_GB2312" w:cs="仿宋_GB2312" w:eastAsia="仿宋_GB2312"/>
                <w:sz w:val="24"/>
              </w:rPr>
              <w:t>天内、高危漏洞</w:t>
            </w:r>
            <w:r>
              <w:rPr>
                <w:rFonts w:ascii="仿宋_GB2312" w:hAnsi="仿宋_GB2312" w:cs="仿宋_GB2312" w:eastAsia="仿宋_GB2312"/>
                <w:sz w:val="24"/>
              </w:rPr>
              <w:t>5</w:t>
            </w:r>
            <w:r>
              <w:rPr>
                <w:rFonts w:ascii="仿宋_GB2312" w:hAnsi="仿宋_GB2312" w:cs="仿宋_GB2312" w:eastAsia="仿宋_GB2312"/>
                <w:sz w:val="24"/>
              </w:rPr>
              <w:t>天内、中危漏洞</w:t>
            </w:r>
            <w:r>
              <w:rPr>
                <w:rFonts w:ascii="仿宋_GB2312" w:hAnsi="仿宋_GB2312" w:cs="仿宋_GB2312" w:eastAsia="仿宋_GB2312"/>
                <w:sz w:val="24"/>
              </w:rPr>
              <w:t>2</w:t>
            </w:r>
            <w:r>
              <w:rPr>
                <w:rFonts w:ascii="仿宋_GB2312" w:hAnsi="仿宋_GB2312" w:cs="仿宋_GB2312" w:eastAsia="仿宋_GB2312"/>
                <w:sz w:val="24"/>
              </w:rPr>
              <w:t>周内的标准执行。</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硬件设备维护</w:t>
            </w:r>
          </w:p>
          <w:p>
            <w:pPr>
              <w:pStyle w:val="null3"/>
              <w:jc w:val="left"/>
            </w:pPr>
            <w:r>
              <w:rPr>
                <w:rFonts w:ascii="仿宋_GB2312" w:hAnsi="仿宋_GB2312" w:cs="仿宋_GB2312" w:eastAsia="仿宋_GB2312"/>
                <w:sz w:val="24"/>
              </w:rPr>
              <w:t>定位终端维护：对定位终端进行维修、月度定期巡检、维护保养、设备程序升级等工作，确保其正常运行。完成定位终端的年度拆除与新装工作，提升定位精度和稳定性。</w:t>
            </w:r>
          </w:p>
          <w:p>
            <w:pPr>
              <w:pStyle w:val="null3"/>
              <w:jc w:val="both"/>
            </w:pPr>
            <w:r>
              <w:rPr>
                <w:rFonts w:ascii="仿宋_GB2312" w:hAnsi="仿宋_GB2312" w:cs="仿宋_GB2312" w:eastAsia="仿宋_GB2312"/>
                <w:sz w:val="24"/>
              </w:rPr>
              <w:t>故障处理：对定位终端硬件设备故障实行快速响应机制，</w:t>
            </w:r>
            <w:r>
              <w:rPr>
                <w:rFonts w:ascii="仿宋_GB2312" w:hAnsi="仿宋_GB2312" w:cs="仿宋_GB2312" w:eastAsia="仿宋_GB2312"/>
                <w:sz w:val="24"/>
              </w:rPr>
              <w:t>10</w:t>
            </w:r>
            <w:r>
              <w:rPr>
                <w:rFonts w:ascii="仿宋_GB2312" w:hAnsi="仿宋_GB2312" w:cs="仿宋_GB2312" w:eastAsia="仿宋_GB2312"/>
                <w:sz w:val="24"/>
              </w:rPr>
              <w:t>分钟内响应，</w:t>
            </w:r>
            <w:r>
              <w:rPr>
                <w:rFonts w:ascii="仿宋_GB2312" w:hAnsi="仿宋_GB2312" w:cs="仿宋_GB2312" w:eastAsia="仿宋_GB2312"/>
                <w:sz w:val="24"/>
              </w:rPr>
              <w:t>2</w:t>
            </w:r>
            <w:r>
              <w:rPr>
                <w:rFonts w:ascii="仿宋_GB2312" w:hAnsi="仿宋_GB2312" w:cs="仿宋_GB2312" w:eastAsia="仿宋_GB2312"/>
                <w:sz w:val="24"/>
              </w:rPr>
              <w:t>小时内到达现场，</w:t>
            </w:r>
            <w:r>
              <w:rPr>
                <w:rFonts w:ascii="仿宋_GB2312" w:hAnsi="仿宋_GB2312" w:cs="仿宋_GB2312" w:eastAsia="仿宋_GB2312"/>
                <w:sz w:val="24"/>
              </w:rPr>
              <w:t>4</w:t>
            </w:r>
            <w:r>
              <w:rPr>
                <w:rFonts w:ascii="仿宋_GB2312" w:hAnsi="仿宋_GB2312" w:cs="仿宋_GB2312" w:eastAsia="仿宋_GB2312"/>
                <w:sz w:val="24"/>
              </w:rPr>
              <w:t>小时内给出解决方案，</w:t>
            </w:r>
            <w:r>
              <w:rPr>
                <w:rFonts w:ascii="仿宋_GB2312" w:hAnsi="仿宋_GB2312" w:cs="仿宋_GB2312" w:eastAsia="仿宋_GB2312"/>
                <w:sz w:val="24"/>
              </w:rPr>
              <w:t>24</w:t>
            </w:r>
            <w:r>
              <w:rPr>
                <w:rFonts w:ascii="仿宋_GB2312" w:hAnsi="仿宋_GB2312" w:cs="仿宋_GB2312" w:eastAsia="仿宋_GB2312"/>
                <w:sz w:val="24"/>
              </w:rPr>
              <w:t>小时内解决故障。对于非人为损坏且无法在</w:t>
            </w:r>
            <w:r>
              <w:rPr>
                <w:rFonts w:ascii="仿宋_GB2312" w:hAnsi="仿宋_GB2312" w:cs="仿宋_GB2312" w:eastAsia="仿宋_GB2312"/>
                <w:sz w:val="24"/>
              </w:rPr>
              <w:t>24</w:t>
            </w:r>
            <w:r>
              <w:rPr>
                <w:rFonts w:ascii="仿宋_GB2312" w:hAnsi="仿宋_GB2312" w:cs="仿宋_GB2312" w:eastAsia="仿宋_GB2312"/>
                <w:sz w:val="24"/>
              </w:rPr>
              <w:t>小时内解决的情况，质保期内需更换零部件直至整机，确保设备故障得到及时处理。每月执行定位终端远程巡检，排查潜在故障，对超过</w:t>
            </w:r>
            <w:r>
              <w:rPr>
                <w:rFonts w:ascii="仿宋_GB2312" w:hAnsi="仿宋_GB2312" w:cs="仿宋_GB2312" w:eastAsia="仿宋_GB2312"/>
                <w:sz w:val="24"/>
              </w:rPr>
              <w:t>20</w:t>
            </w:r>
            <w:r>
              <w:rPr>
                <w:rFonts w:ascii="仿宋_GB2312" w:hAnsi="仿宋_GB2312" w:cs="仿宋_GB2312" w:eastAsia="仿宋_GB2312"/>
                <w:sz w:val="24"/>
              </w:rPr>
              <w:t>天未维修处理的省级单位向陕西省机关事务服务中心公车处反馈，以便及时跟进和处理。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二、服务要求</w:t>
            </w:r>
          </w:p>
          <w:p>
            <w:pPr>
              <w:pStyle w:val="null3"/>
              <w:jc w:val="left"/>
            </w:pPr>
            <w:r>
              <w:rPr>
                <w:rFonts w:ascii="仿宋_GB2312" w:hAnsi="仿宋_GB2312" w:cs="仿宋_GB2312" w:eastAsia="仿宋_GB2312"/>
                <w:sz w:val="24"/>
              </w:rPr>
              <w:t>（一）技术参数与性能指标</w:t>
            </w:r>
          </w:p>
          <w:p>
            <w:pPr>
              <w:pStyle w:val="null3"/>
              <w:jc w:val="left"/>
            </w:pPr>
            <w:r>
              <w:rPr>
                <w:rFonts w:ascii="仿宋_GB2312" w:hAnsi="仿宋_GB2312" w:cs="仿宋_GB2312" w:eastAsia="仿宋_GB2312"/>
                <w:sz w:val="24"/>
              </w:rPr>
              <w:t>除上述提及的具体要求外，数据库维护需严格按照每日一次全量备份、每分钟检查一次数据库状态的频率进行，确保数据的安全性和完整性。数据传输采用加密技术，保障数据在传输过程中的安全。实现特定用户访问特定数据库，满足高强度密码复杂性要求，对数据库漏扫报告中危及以上漏洞及时修复，严重风险必须整改，中高危风险原则上整改，无法整改的采取加固及风险抑制措施，修复时间严格遵循紧急漏洞</w:t>
            </w:r>
            <w:r>
              <w:rPr>
                <w:rFonts w:ascii="仿宋_GB2312" w:hAnsi="仿宋_GB2312" w:cs="仿宋_GB2312" w:eastAsia="仿宋_GB2312"/>
                <w:sz w:val="24"/>
              </w:rPr>
              <w:t>2</w:t>
            </w:r>
            <w:r>
              <w:rPr>
                <w:rFonts w:ascii="仿宋_GB2312" w:hAnsi="仿宋_GB2312" w:cs="仿宋_GB2312" w:eastAsia="仿宋_GB2312"/>
                <w:sz w:val="24"/>
              </w:rPr>
              <w:t>天内、高危漏洞</w:t>
            </w:r>
            <w:r>
              <w:rPr>
                <w:rFonts w:ascii="仿宋_GB2312" w:hAnsi="仿宋_GB2312" w:cs="仿宋_GB2312" w:eastAsia="仿宋_GB2312"/>
                <w:sz w:val="24"/>
              </w:rPr>
              <w:t>5</w:t>
            </w:r>
            <w:r>
              <w:rPr>
                <w:rFonts w:ascii="仿宋_GB2312" w:hAnsi="仿宋_GB2312" w:cs="仿宋_GB2312" w:eastAsia="仿宋_GB2312"/>
                <w:sz w:val="24"/>
              </w:rPr>
              <w:t>天内、中危漏洞</w:t>
            </w:r>
            <w:r>
              <w:rPr>
                <w:rFonts w:ascii="仿宋_GB2312" w:hAnsi="仿宋_GB2312" w:cs="仿宋_GB2312" w:eastAsia="仿宋_GB2312"/>
                <w:sz w:val="24"/>
              </w:rPr>
              <w:t>2</w:t>
            </w:r>
            <w:r>
              <w:rPr>
                <w:rFonts w:ascii="仿宋_GB2312" w:hAnsi="仿宋_GB2312" w:cs="仿宋_GB2312" w:eastAsia="仿宋_GB2312"/>
                <w:sz w:val="24"/>
              </w:rPr>
              <w:t>周内的标准执行。</w:t>
            </w:r>
          </w:p>
          <w:p>
            <w:pPr>
              <w:pStyle w:val="null3"/>
              <w:jc w:val="left"/>
            </w:pPr>
            <w:r>
              <w:rPr>
                <w:rFonts w:ascii="仿宋_GB2312" w:hAnsi="仿宋_GB2312" w:cs="仿宋_GB2312" w:eastAsia="仿宋_GB2312"/>
                <w:sz w:val="24"/>
              </w:rPr>
              <w:t>（二）人员配置要求</w:t>
            </w:r>
          </w:p>
          <w:p>
            <w:pPr>
              <w:pStyle w:val="null3"/>
              <w:jc w:val="left"/>
            </w:pPr>
            <w:r>
              <w:rPr>
                <w:rFonts w:ascii="仿宋_GB2312" w:hAnsi="仿宋_GB2312" w:cs="仿宋_GB2312" w:eastAsia="仿宋_GB2312"/>
                <w:sz w:val="24"/>
              </w:rPr>
              <w:t>专项保障工作组：成立运维专项保障工作组，制定详细的人员分工责任表，明确人员分工、名单（提供项目组织人员姓名、职务、联系电话、本项目中担任角色），确保各项工作责任到人。同时，提供所有成员</w:t>
            </w:r>
            <w:r>
              <w:rPr>
                <w:rFonts w:ascii="仿宋_GB2312" w:hAnsi="仿宋_GB2312" w:cs="仿宋_GB2312" w:eastAsia="仿宋_GB2312"/>
                <w:sz w:val="24"/>
              </w:rPr>
              <w:t>2025</w:t>
            </w:r>
            <w:r>
              <w:rPr>
                <w:rFonts w:ascii="仿宋_GB2312" w:hAnsi="仿宋_GB2312" w:cs="仿宋_GB2312" w:eastAsia="仿宋_GB2312"/>
                <w:sz w:val="24"/>
              </w:rPr>
              <w:t>年以来至少</w:t>
            </w:r>
            <w:r>
              <w:rPr>
                <w:rFonts w:ascii="仿宋_GB2312" w:hAnsi="仿宋_GB2312" w:cs="仿宋_GB2312" w:eastAsia="仿宋_GB2312"/>
                <w:sz w:val="24"/>
              </w:rPr>
              <w:t>3</w:t>
            </w:r>
            <w:r>
              <w:rPr>
                <w:rFonts w:ascii="仿宋_GB2312" w:hAnsi="仿宋_GB2312" w:cs="仿宋_GB2312" w:eastAsia="仿宋_GB2312"/>
                <w:sz w:val="24"/>
              </w:rPr>
              <w:t>个月的社保缴纳证明，以证明人员的稳定性和合法性。</w:t>
            </w:r>
          </w:p>
          <w:p>
            <w:pPr>
              <w:pStyle w:val="null3"/>
              <w:jc w:val="left"/>
            </w:pPr>
            <w:r>
              <w:rPr>
                <w:rFonts w:ascii="仿宋_GB2312" w:hAnsi="仿宋_GB2312" w:cs="仿宋_GB2312" w:eastAsia="仿宋_GB2312"/>
                <w:sz w:val="24"/>
              </w:rPr>
              <w:t>培训与客服人员：安排</w:t>
            </w:r>
            <w:r>
              <w:rPr>
                <w:rFonts w:ascii="仿宋_GB2312" w:hAnsi="仿宋_GB2312" w:cs="仿宋_GB2312" w:eastAsia="仿宋_GB2312"/>
                <w:sz w:val="24"/>
              </w:rPr>
              <w:t xml:space="preserve"> 2 </w:t>
            </w:r>
            <w:r>
              <w:rPr>
                <w:rFonts w:ascii="仿宋_GB2312" w:hAnsi="仿宋_GB2312" w:cs="仿宋_GB2312" w:eastAsia="仿宋_GB2312"/>
                <w:sz w:val="24"/>
              </w:rPr>
              <w:t xml:space="preserve">名培训讲师提供现场及上门专业培训服务，同时配备 </w:t>
            </w:r>
            <w:r>
              <w:rPr>
                <w:rFonts w:ascii="仿宋_GB2312" w:hAnsi="仿宋_GB2312" w:cs="仿宋_GB2312" w:eastAsia="仿宋_GB2312"/>
                <w:sz w:val="24"/>
              </w:rPr>
              <w:t xml:space="preserve">2 </w:t>
            </w:r>
            <w:r>
              <w:rPr>
                <w:rFonts w:ascii="仿宋_GB2312" w:hAnsi="仿宋_GB2312" w:cs="仿宋_GB2312" w:eastAsia="仿宋_GB2312"/>
                <w:sz w:val="24"/>
              </w:rPr>
              <w:t xml:space="preserve">名专业客服人员提供 </w:t>
            </w:r>
            <w:r>
              <w:rPr>
                <w:rFonts w:ascii="仿宋_GB2312" w:hAnsi="仿宋_GB2312" w:cs="仿宋_GB2312" w:eastAsia="仿宋_GB2312"/>
                <w:sz w:val="24"/>
              </w:rPr>
              <w:t xml:space="preserve">7×24 </w:t>
            </w:r>
            <w:r>
              <w:rPr>
                <w:rFonts w:ascii="仿宋_GB2312" w:hAnsi="仿宋_GB2312" w:cs="仿宋_GB2312" w:eastAsia="仿宋_GB2312"/>
                <w:sz w:val="24"/>
              </w:rPr>
              <w:t xml:space="preserve">小时对接，及时响应咨询与反馈；每周四派研发技术人员前往陕西省机关事务服务中心公车处座谈，收集需求以优化平台；每年安排至少 </w:t>
            </w:r>
            <w:r>
              <w:rPr>
                <w:rFonts w:ascii="仿宋_GB2312" w:hAnsi="仿宋_GB2312" w:cs="仿宋_GB2312" w:eastAsia="仿宋_GB2312"/>
                <w:sz w:val="24"/>
              </w:rPr>
              <w:t xml:space="preserve">1 </w:t>
            </w:r>
            <w:r>
              <w:rPr>
                <w:rFonts w:ascii="仿宋_GB2312" w:hAnsi="仿宋_GB2312" w:cs="仿宋_GB2312" w:eastAsia="仿宋_GB2312"/>
                <w:sz w:val="24"/>
              </w:rPr>
              <w:t>人参与党政机关公务用车统计报告工作，提供全方位支持。设施设备方面，需具备履行合同必需的设备，卫星定位终端供应商应与平台建设供应方一致或能提供统一售后及技术服务，确保设备兼容性和售后服务一致性；此外，将根据公车处要求派人现场办公，不限时清理公务用车管理监督平台数据，直至符合公车处要求。</w:t>
            </w:r>
          </w:p>
          <w:p>
            <w:pPr>
              <w:pStyle w:val="null3"/>
              <w:jc w:val="left"/>
            </w:pPr>
            <w:r>
              <w:rPr>
                <w:rFonts w:ascii="仿宋_GB2312" w:hAnsi="仿宋_GB2312" w:cs="仿宋_GB2312" w:eastAsia="仿宋_GB2312"/>
                <w:sz w:val="24"/>
              </w:rPr>
              <w:t>（三）其他要求</w:t>
            </w:r>
          </w:p>
          <w:p>
            <w:pPr>
              <w:pStyle w:val="null3"/>
              <w:jc w:val="left"/>
            </w:pPr>
            <w:r>
              <w:rPr>
                <w:rFonts w:ascii="仿宋_GB2312" w:hAnsi="仿宋_GB2312" w:cs="仿宋_GB2312" w:eastAsia="仿宋_GB2312"/>
                <w:sz w:val="24"/>
              </w:rPr>
              <w:t>规范化运维保障：通过规范化的运维保障服务，满足陕西省省本级公务用车信息化管理要求，确保后期升级和调优的功能与现有系统平台软件和硬件设备服务接口无缝匹配，实现</w:t>
            </w:r>
            <w:r>
              <w:rPr>
                <w:rFonts w:ascii="仿宋_GB2312" w:hAnsi="仿宋_GB2312" w:cs="仿宋_GB2312" w:eastAsia="仿宋_GB2312"/>
                <w:sz w:val="24"/>
              </w:rPr>
              <w:t>“全省一张网”的管理需求。确定系统平台和单台设备的维护规范标准，后期根据政策要求增加车辆时无需增加运维费用，为用户提供长期、稳定、高效的运维服务。</w:t>
            </w:r>
          </w:p>
          <w:p>
            <w:pPr>
              <w:pStyle w:val="null3"/>
              <w:jc w:val="left"/>
            </w:pPr>
            <w:r>
              <w:rPr>
                <w:rFonts w:ascii="仿宋_GB2312" w:hAnsi="仿宋_GB2312" w:cs="仿宋_GB2312" w:eastAsia="仿宋_GB2312"/>
                <w:sz w:val="24"/>
              </w:rPr>
              <w:t>维护清单提供：每月需提供《陕西省公务用车管理监督平台维保情况表》《陕西省公务用车管理监督平台维保项目月度巡检单》《陕西省公务用车管理监督平台维保项目周度巡检单》《陕西省公务用车管理监督平台维保项目日常巡检单》《陕西省公务用车管理监督平台维保项目问题记录表》等纸质维护清单，让用户及时了解平台的维护情况和存在的问题。</w:t>
            </w:r>
          </w:p>
          <w:p>
            <w:pPr>
              <w:pStyle w:val="null3"/>
              <w:jc w:val="both"/>
            </w:pPr>
            <w:r>
              <w:rPr>
                <w:rFonts w:ascii="仿宋_GB2312" w:hAnsi="仿宋_GB2312" w:cs="仿宋_GB2312" w:eastAsia="仿宋_GB2312"/>
                <w:sz w:val="24"/>
              </w:rPr>
              <w:t>违约责任承担：运维公司若未达到服务标准，应承担相应违约责任。每扣分达</w:t>
            </w:r>
            <w:r>
              <w:rPr>
                <w:rFonts w:ascii="仿宋_GB2312" w:hAnsi="仿宋_GB2312" w:cs="仿宋_GB2312" w:eastAsia="仿宋_GB2312"/>
                <w:sz w:val="24"/>
              </w:rPr>
              <w:t>3</w:t>
            </w:r>
            <w:r>
              <w:rPr>
                <w:rFonts w:ascii="仿宋_GB2312" w:hAnsi="仿宋_GB2312" w:cs="仿宋_GB2312" w:eastAsia="仿宋_GB2312"/>
                <w:sz w:val="24"/>
              </w:rPr>
              <w:t>分，扣当年质保金</w:t>
            </w:r>
            <w:r>
              <w:rPr>
                <w:rFonts w:ascii="仿宋_GB2312" w:hAnsi="仿宋_GB2312" w:cs="仿宋_GB2312" w:eastAsia="仿宋_GB2312"/>
                <w:sz w:val="24"/>
              </w:rPr>
              <w:t>10%</w:t>
            </w:r>
            <w:r>
              <w:rPr>
                <w:rFonts w:ascii="仿宋_GB2312" w:hAnsi="仿宋_GB2312" w:cs="仿宋_GB2312" w:eastAsia="仿宋_GB2312"/>
                <w:sz w:val="24"/>
              </w:rPr>
              <w:t>；如因无法按时完成巡检、网络安全、保密等问题被网信办、网监等部门通报，一经核实，第</w:t>
            </w:r>
            <w:r>
              <w:rPr>
                <w:rFonts w:ascii="仿宋_GB2312" w:hAnsi="仿宋_GB2312" w:cs="仿宋_GB2312" w:eastAsia="仿宋_GB2312"/>
                <w:sz w:val="24"/>
              </w:rPr>
              <w:t>1</w:t>
            </w:r>
            <w:r>
              <w:rPr>
                <w:rFonts w:ascii="仿宋_GB2312" w:hAnsi="仿宋_GB2312" w:cs="仿宋_GB2312" w:eastAsia="仿宋_GB2312"/>
                <w:sz w:val="24"/>
              </w:rPr>
              <w:t>次扣当年质保金的</w:t>
            </w:r>
            <w:r>
              <w:rPr>
                <w:rFonts w:ascii="仿宋_GB2312" w:hAnsi="仿宋_GB2312" w:cs="仿宋_GB2312" w:eastAsia="仿宋_GB2312"/>
                <w:sz w:val="24"/>
              </w:rPr>
              <w:t>10%</w:t>
            </w: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次扣当年质保金的</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次（含</w:t>
            </w:r>
            <w:r>
              <w:rPr>
                <w:rFonts w:ascii="仿宋_GB2312" w:hAnsi="仿宋_GB2312" w:cs="仿宋_GB2312" w:eastAsia="仿宋_GB2312"/>
                <w:sz w:val="24"/>
              </w:rPr>
              <w:t>3</w:t>
            </w:r>
            <w:r>
              <w:rPr>
                <w:rFonts w:ascii="仿宋_GB2312" w:hAnsi="仿宋_GB2312" w:cs="仿宋_GB2312" w:eastAsia="仿宋_GB2312"/>
                <w:sz w:val="24"/>
              </w:rPr>
              <w:t>次）以上扣当年全部质保金；在连续或严重违约情况下，陕西省机关事务服务中心有权提前解除或终止与运维公司的合作协议，并在合同期限内寻找替代服务商；针对运维公司履约过程中暴露的问题，适时调整服务协议内容，强化约束力，确保运维服务质量和效率得到改善。</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sz w:val="24"/>
              </w:rPr>
              <w:t>合同签订相关内容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本次合同总服务期限为三年，自</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8</w:t>
            </w:r>
            <w:r>
              <w:rPr>
                <w:rFonts w:ascii="仿宋_GB2312" w:hAnsi="仿宋_GB2312" w:cs="仿宋_GB2312" w:eastAsia="仿宋_GB2312"/>
                <w:sz w:val="24"/>
              </w:rPr>
              <w:t>日起至</w:t>
            </w:r>
            <w:r>
              <w:rPr>
                <w:rFonts w:ascii="仿宋_GB2312" w:hAnsi="仿宋_GB2312" w:cs="仿宋_GB2312" w:eastAsia="仿宋_GB2312"/>
                <w:sz w:val="24"/>
              </w:rPr>
              <w:t>2028</w:t>
            </w:r>
            <w:r>
              <w:rPr>
                <w:rFonts w:ascii="仿宋_GB2312" w:hAnsi="仿宋_GB2312" w:cs="仿宋_GB2312" w:eastAsia="仿宋_GB2312"/>
                <w:sz w:val="24"/>
              </w:rPr>
              <w:t>年</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8</w:t>
            </w:r>
            <w:r>
              <w:rPr>
                <w:rFonts w:ascii="仿宋_GB2312" w:hAnsi="仿宋_GB2312" w:cs="仿宋_GB2312" w:eastAsia="仿宋_GB2312"/>
                <w:sz w:val="24"/>
              </w:rPr>
              <w:t>日止，为平台提供长期稳定的运维服务。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在合同期内，按照公务用车管理处的要求不限人员数量和时间派驻在公车处现场，对信息化平台进行修改清理数据等工作，为平台的日常使用和数据管理提供及时、便捷的现场支持。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四、验</w:t>
            </w:r>
            <w:r>
              <w:rPr>
                <w:rFonts w:ascii="仿宋_GB2312" w:hAnsi="仿宋_GB2312" w:cs="仿宋_GB2312" w:eastAsia="仿宋_GB2312"/>
                <w:sz w:val="24"/>
              </w:rPr>
              <w:t>收标准与流程</w:t>
            </w:r>
          </w:p>
          <w:p>
            <w:pPr>
              <w:pStyle w:val="null3"/>
              <w:jc w:val="left"/>
            </w:pPr>
            <w:r>
              <w:rPr>
                <w:rFonts w:ascii="仿宋_GB2312" w:hAnsi="仿宋_GB2312" w:cs="仿宋_GB2312" w:eastAsia="仿宋_GB2312"/>
                <w:sz w:val="24"/>
              </w:rPr>
              <w:t>（一）验收标准</w:t>
            </w:r>
          </w:p>
          <w:p>
            <w:pPr>
              <w:pStyle w:val="null3"/>
              <w:jc w:val="left"/>
            </w:pPr>
            <w:r>
              <w:rPr>
                <w:rFonts w:ascii="仿宋_GB2312" w:hAnsi="仿宋_GB2312" w:cs="仿宋_GB2312" w:eastAsia="仿宋_GB2312"/>
                <w:sz w:val="24"/>
              </w:rPr>
              <w:t>服务内容达标验收：依据项目规定的各项服务内容，如信息通信服务、软件系统服务、日常维护服务等，逐一核查运维公司的执行情况。例如，短信服务需稳定可靠，重发机制、流量监测及报警机制正常运行；物联网卡流量数据服务要保障网络连接稳定、流量充足；软件系统每年开发新功能、对接平台数量达到标准，版本更新严格遵循时间安排；日常维护服务中的网络、服务器、数据管理、安全管理、硬件设备维护等各项工作均符合相应规范和指标。</w:t>
            </w:r>
          </w:p>
          <w:p>
            <w:pPr>
              <w:pStyle w:val="null3"/>
              <w:jc w:val="left"/>
            </w:pPr>
            <w:r>
              <w:rPr>
                <w:rFonts w:ascii="仿宋_GB2312" w:hAnsi="仿宋_GB2312" w:cs="仿宋_GB2312" w:eastAsia="仿宋_GB2312"/>
                <w:sz w:val="24"/>
              </w:rPr>
              <w:t>技术参数达标验收：对数据库维护频率、数据加密、用户访问权限、漏洞修复时间等技术参数进行严格验收。检查数据库是否每日进行一次全量备份、每分钟检查一次状态，数据传输加密技术是否有效实施，特定用户访问特定数据库是否实现且满足密码复杂性要求，各类漏洞修复是否在规定时间内完成。</w:t>
            </w:r>
          </w:p>
          <w:p>
            <w:pPr>
              <w:pStyle w:val="null3"/>
              <w:jc w:val="left"/>
            </w:pPr>
            <w:r>
              <w:rPr>
                <w:rFonts w:ascii="仿宋_GB2312" w:hAnsi="仿宋_GB2312" w:cs="仿宋_GB2312" w:eastAsia="仿宋_GB2312"/>
                <w:sz w:val="24"/>
              </w:rPr>
              <w:t>人员配置达标验收：核实运维公司是否按照人员配置要求组建专项保障工作组，人员分工是否明确，是否提供社保缴纳证明。培训讲师、客服人员数量是否充足，是否履行相应职责，研发技术人员是否按要求前往座谈，参与公务用车统计报告工作的人员是否到位。</w:t>
            </w:r>
          </w:p>
          <w:p>
            <w:pPr>
              <w:pStyle w:val="null3"/>
              <w:jc w:val="left"/>
            </w:pPr>
            <w:r>
              <w:rPr>
                <w:rFonts w:ascii="仿宋_GB2312" w:hAnsi="仿宋_GB2312" w:cs="仿宋_GB2312" w:eastAsia="仿宋_GB2312"/>
                <w:sz w:val="24"/>
              </w:rPr>
              <w:t>维护清单验收：审查每月提交的各类纸质维护清单，包括《陕西省公务用车管理监督平台维保情况表》等，确认清单内容完整、数据准确，能真实反映平台维护情况和存在问题。</w:t>
            </w:r>
          </w:p>
          <w:p>
            <w:pPr>
              <w:pStyle w:val="null3"/>
              <w:jc w:val="left"/>
            </w:pPr>
            <w:r>
              <w:rPr>
                <w:rFonts w:ascii="仿宋_GB2312" w:hAnsi="仿宋_GB2312" w:cs="仿宋_GB2312" w:eastAsia="仿宋_GB2312"/>
                <w:sz w:val="24"/>
              </w:rPr>
              <w:t>（二）验收流程</w:t>
            </w:r>
          </w:p>
          <w:p>
            <w:pPr>
              <w:pStyle w:val="null3"/>
              <w:jc w:val="left"/>
            </w:pPr>
            <w:r>
              <w:rPr>
                <w:rFonts w:ascii="仿宋_GB2312" w:hAnsi="仿宋_GB2312" w:cs="仿宋_GB2312" w:eastAsia="仿宋_GB2312"/>
                <w:sz w:val="24"/>
              </w:rPr>
              <w:t>运维公司提交验收申请：在合同约定的服务周期节点：每年年末服务任务完成后，运维公司向陕西省机关事务服务中心提交验收申请，同时附上详细的服务执行报告，报告内容涵盖服务内容完成情况、技术参数指标达成情况、人员工作情况、维护清单记录等。</w:t>
            </w:r>
          </w:p>
          <w:p>
            <w:pPr>
              <w:pStyle w:val="null3"/>
              <w:jc w:val="left"/>
            </w:pPr>
            <w:r>
              <w:rPr>
                <w:rFonts w:ascii="仿宋_GB2312" w:hAnsi="仿宋_GB2312" w:cs="仿宋_GB2312" w:eastAsia="仿宋_GB2312"/>
                <w:sz w:val="24"/>
              </w:rPr>
              <w:t>验收小组组建：陕西省机关事务服务中心收到验收申请后，由公车处组建验收小组。验收小组由中心内部相关业务部门人员组成，确保验收的专业性和公正性。</w:t>
            </w:r>
          </w:p>
          <w:p>
            <w:pPr>
              <w:pStyle w:val="null3"/>
              <w:jc w:val="left"/>
            </w:pPr>
            <w:r>
              <w:rPr>
                <w:rFonts w:ascii="仿宋_GB2312" w:hAnsi="仿宋_GB2312" w:cs="仿宋_GB2312" w:eastAsia="仿宋_GB2312"/>
                <w:sz w:val="24"/>
              </w:rPr>
              <w:t>资料审查：验收小组首先对运维公司提交的服务执行报告和各类维护清单进行审查，检查资料的完整性和合规性。若资料存在缺失或不符合要求的情况，要求运维公司限期补充或整改。</w:t>
            </w:r>
          </w:p>
          <w:p>
            <w:pPr>
              <w:pStyle w:val="null3"/>
              <w:jc w:val="left"/>
            </w:pPr>
            <w:r>
              <w:rPr>
                <w:rFonts w:ascii="仿宋_GB2312" w:hAnsi="仿宋_GB2312" w:cs="仿宋_GB2312" w:eastAsia="仿宋_GB2312"/>
                <w:sz w:val="24"/>
              </w:rPr>
              <w:t>现场检查：资料审查通过后，验收小组对平台系统、服务器、硬件设备等进行现场检查。通过实地查看、操作演示、数据抽检等方式，验证运维服务的实际效果。例如，检查服务器运行状态、网络连接稳定性、定位终端工作情况，测试软件系统新功能及数据对接情况等。</w:t>
            </w:r>
          </w:p>
          <w:p>
            <w:pPr>
              <w:pStyle w:val="null3"/>
              <w:jc w:val="left"/>
            </w:pPr>
            <w:r>
              <w:rPr>
                <w:rFonts w:ascii="仿宋_GB2312" w:hAnsi="仿宋_GB2312" w:cs="仿宋_GB2312" w:eastAsia="仿宋_GB2312"/>
                <w:sz w:val="24"/>
              </w:rPr>
              <w:t>验收结果评定：验收小组综合资料审查、现场检查和用户反馈情况，对运维服务进行评定。若各项验收标准均达标，评定为验收通过；若存在部分不达标情况，根据问题严重程度要求运维公司限期整改，整改完成后再次进行验收；若存在严重问题或多次整改仍不达标，评定为验收不通过，并按照合同约定追究运维公司违约责任。</w:t>
            </w:r>
          </w:p>
          <w:p>
            <w:pPr>
              <w:pStyle w:val="null3"/>
              <w:jc w:val="both"/>
            </w:pPr>
            <w:r>
              <w:rPr>
                <w:rFonts w:ascii="仿宋_GB2312" w:hAnsi="仿宋_GB2312" w:cs="仿宋_GB2312" w:eastAsia="仿宋_GB2312"/>
                <w:sz w:val="24"/>
              </w:rPr>
              <w:t>验收报告出具：无论验收结果如何，验收小组均需出具详细的验收报告。报告内容包括验收过程、验收结果、存在问题（如有）及整改建议等，并由验收小组成员签字确认。验收报告作为重要文件存档，同时抄送运维公司。</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1"/>
              <w:gridCol w:w="243"/>
              <w:gridCol w:w="340"/>
              <w:gridCol w:w="1384"/>
              <w:gridCol w:w="382"/>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58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品目</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功能</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车辆调度短信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平台系统车辆所有信息推送通知，按照</w:t>
                  </w:r>
                  <w:r>
                    <w:rPr>
                      <w:rFonts w:ascii="仿宋_GB2312" w:hAnsi="仿宋_GB2312" w:cs="仿宋_GB2312" w:eastAsia="仿宋_GB2312"/>
                      <w:sz w:val="24"/>
                    </w:rPr>
                    <w:t>2023</w:t>
                  </w:r>
                  <w:r>
                    <w:rPr>
                      <w:rFonts w:ascii="仿宋_GB2312" w:hAnsi="仿宋_GB2312" w:cs="仿宋_GB2312" w:eastAsia="仿宋_GB2312"/>
                      <w:sz w:val="24"/>
                    </w:rPr>
                    <w:t>年上报国管局报表省级机关平均单车出车次数</w:t>
                  </w:r>
                  <w:r>
                    <w:rPr>
                      <w:rFonts w:ascii="仿宋_GB2312" w:hAnsi="仿宋_GB2312" w:cs="仿宋_GB2312" w:eastAsia="仿宋_GB2312"/>
                      <w:sz w:val="24"/>
                    </w:rPr>
                    <w:t>192</w:t>
                  </w:r>
                  <w:r>
                    <w:rPr>
                      <w:rFonts w:ascii="仿宋_GB2312" w:hAnsi="仿宋_GB2312" w:cs="仿宋_GB2312" w:eastAsia="仿宋_GB2312"/>
                      <w:sz w:val="24"/>
                    </w:rPr>
                    <w:t>次，</w:t>
                  </w:r>
                  <w:r>
                    <w:rPr>
                      <w:rFonts w:ascii="仿宋_GB2312" w:hAnsi="仿宋_GB2312" w:cs="仿宋_GB2312" w:eastAsia="仿宋_GB2312"/>
                      <w:sz w:val="24"/>
                    </w:rPr>
                    <w:t>1</w:t>
                  </w:r>
                  <w:r>
                    <w:rPr>
                      <w:rFonts w:ascii="仿宋_GB2312" w:hAnsi="仿宋_GB2312" w:cs="仿宋_GB2312" w:eastAsia="仿宋_GB2312"/>
                      <w:sz w:val="24"/>
                    </w:rPr>
                    <w:t>次审批需要</w:t>
                  </w:r>
                  <w:r>
                    <w:rPr>
                      <w:rFonts w:ascii="仿宋_GB2312" w:hAnsi="仿宋_GB2312" w:cs="仿宋_GB2312" w:eastAsia="仿宋_GB2312"/>
                      <w:sz w:val="24"/>
                    </w:rPr>
                    <w:t>8</w:t>
                  </w:r>
                  <w:r>
                    <w:rPr>
                      <w:rFonts w:ascii="仿宋_GB2312" w:hAnsi="仿宋_GB2312" w:cs="仿宋_GB2312" w:eastAsia="仿宋_GB2312"/>
                      <w:sz w:val="24"/>
                    </w:rPr>
                    <w:t>条短信通知</w:t>
                  </w:r>
                  <w:r>
                    <w:rPr>
                      <w:rFonts w:ascii="仿宋_GB2312" w:hAnsi="仿宋_GB2312" w:cs="仿宋_GB2312" w:eastAsia="仿宋_GB2312"/>
                      <w:sz w:val="24"/>
                    </w:rPr>
                    <w:t>。</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2339</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SIM</w:t>
                  </w:r>
                  <w:r>
                    <w:rPr>
                      <w:rFonts w:ascii="仿宋_GB2312" w:hAnsi="仿宋_GB2312" w:cs="仿宋_GB2312" w:eastAsia="仿宋_GB2312"/>
                      <w:sz w:val="24"/>
                    </w:rPr>
                    <w:t>卡流量费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物联网卡移动数据通讯及流量费，用于车辆定位监控系统、设备远程升级维护所有数据通讯。</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2339</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5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平台优化及功能拓展费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主要包括根据用户反馈，平台进行迭代升级、定制化功能模块开发（不少于</w:t>
                  </w:r>
                  <w:r>
                    <w:rPr>
                      <w:rFonts w:ascii="仿宋_GB2312" w:hAnsi="仿宋_GB2312" w:cs="仿宋_GB2312" w:eastAsia="仿宋_GB2312"/>
                      <w:sz w:val="24"/>
                    </w:rPr>
                    <w:t>5</w:t>
                  </w:r>
                  <w:r>
                    <w:rPr>
                      <w:rFonts w:ascii="仿宋_GB2312" w:hAnsi="仿宋_GB2312" w:cs="仿宋_GB2312" w:eastAsia="仿宋_GB2312"/>
                      <w:sz w:val="24"/>
                    </w:rPr>
                    <w:t>个）和系统对接费用。按照</w:t>
                  </w:r>
                  <w:r>
                    <w:rPr>
                      <w:rFonts w:ascii="仿宋_GB2312" w:hAnsi="仿宋_GB2312" w:cs="仿宋_GB2312" w:eastAsia="仿宋_GB2312"/>
                      <w:sz w:val="24"/>
                    </w:rPr>
                    <w:t>5</w:t>
                  </w:r>
                  <w:r>
                    <w:rPr>
                      <w:rFonts w:ascii="仿宋_GB2312" w:hAnsi="仿宋_GB2312" w:cs="仿宋_GB2312" w:eastAsia="仿宋_GB2312"/>
                      <w:sz w:val="24"/>
                    </w:rPr>
                    <w:t>个人工作</w:t>
                  </w:r>
                  <w:r>
                    <w:rPr>
                      <w:rFonts w:ascii="仿宋_GB2312" w:hAnsi="仿宋_GB2312" w:cs="仿宋_GB2312" w:eastAsia="仿宋_GB2312"/>
                      <w:sz w:val="24"/>
                    </w:rPr>
                    <w:t>52</w:t>
                  </w:r>
                  <w:r>
                    <w:rPr>
                      <w:rFonts w:ascii="仿宋_GB2312" w:hAnsi="仿宋_GB2312" w:cs="仿宋_GB2312" w:eastAsia="仿宋_GB2312"/>
                      <w:sz w:val="24"/>
                    </w:rPr>
                    <w:t>天计算。</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r>
            <w:tr>
              <w:tc>
                <w:tcPr>
                  <w:tcW w:type="dxa" w:w="2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日常维护费</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服务器及数据日常运维</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为防止网络安全攻击对服务器、网络、数据库进行日常维护，备份。每个月</w:t>
                  </w:r>
                  <w:r>
                    <w:rPr>
                      <w:rFonts w:ascii="仿宋_GB2312" w:hAnsi="仿宋_GB2312" w:cs="仿宋_GB2312" w:eastAsia="仿宋_GB2312"/>
                      <w:sz w:val="24"/>
                    </w:rPr>
                    <w:t>1</w:t>
                  </w:r>
                  <w:r>
                    <w:rPr>
                      <w:rFonts w:ascii="仿宋_GB2312" w:hAnsi="仿宋_GB2312" w:cs="仿宋_GB2312" w:eastAsia="仿宋_GB2312"/>
                      <w:sz w:val="24"/>
                    </w:rPr>
                    <w:t>次，共</w:t>
                  </w:r>
                  <w:r>
                    <w:rPr>
                      <w:rFonts w:ascii="仿宋_GB2312" w:hAnsi="仿宋_GB2312" w:cs="仿宋_GB2312" w:eastAsia="仿宋_GB2312"/>
                      <w:sz w:val="24"/>
                    </w:rPr>
                    <w:t>12</w:t>
                  </w:r>
                  <w:r>
                    <w:rPr>
                      <w:rFonts w:ascii="仿宋_GB2312" w:hAnsi="仿宋_GB2312" w:cs="仿宋_GB2312" w:eastAsia="仿宋_GB2312"/>
                      <w:sz w:val="24"/>
                    </w:rPr>
                    <w:t>次。</w:t>
                  </w:r>
                </w:p>
              </w:tc>
              <w:tc>
                <w:tcPr>
                  <w:tcW w:type="dxa" w:w="3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r>
            <w:tr>
              <w:tc>
                <w:tcPr>
                  <w:tcW w:type="dxa" w:w="201"/>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系统安全管理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系统及服务器漏洞扫描与漏洞修复</w:t>
                  </w:r>
                </w:p>
              </w:tc>
              <w:tc>
                <w:tcPr>
                  <w:tcW w:type="dxa" w:w="382"/>
                  <w:vMerge/>
                  <w:tcBorders>
                    <w:top w:val="single" w:color="000000" w:sz="4"/>
                    <w:left w:val="none" w:color="000000" w:sz="4"/>
                    <w:bottom w:val="single" w:color="000000" w:sz="4"/>
                    <w:right w:val="single" w:color="000000" w:sz="4"/>
                  </w:tcBorders>
                </w:tcPr>
                <w:p/>
              </w:tc>
            </w:tr>
            <w:tr>
              <w:tc>
                <w:tcPr>
                  <w:tcW w:type="dxa" w:w="201"/>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服务台远程运维服务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提供手机、微信群、微信等多种渠道的售后服务，为各使用单位提供每天</w:t>
                  </w:r>
                  <w:r>
                    <w:rPr>
                      <w:rFonts w:ascii="仿宋_GB2312" w:hAnsi="仿宋_GB2312" w:cs="仿宋_GB2312" w:eastAsia="仿宋_GB2312"/>
                      <w:sz w:val="24"/>
                    </w:rPr>
                    <w:t>24</w:t>
                  </w:r>
                  <w:r>
                    <w:rPr>
                      <w:rFonts w:ascii="仿宋_GB2312" w:hAnsi="仿宋_GB2312" w:cs="仿宋_GB2312" w:eastAsia="仿宋_GB2312"/>
                      <w:sz w:val="24"/>
                    </w:rPr>
                    <w:t>小时服务。</w:t>
                  </w:r>
                </w:p>
              </w:tc>
              <w:tc>
                <w:tcPr>
                  <w:tcW w:type="dxa" w:w="382"/>
                  <w:vMerge/>
                  <w:tcBorders>
                    <w:top w:val="single" w:color="000000" w:sz="4"/>
                    <w:left w:val="none" w:color="000000" w:sz="4"/>
                    <w:bottom w:val="single" w:color="000000" w:sz="4"/>
                    <w:right w:val="single" w:color="000000" w:sz="4"/>
                  </w:tcBorders>
                </w:tcPr>
                <w:p/>
              </w:tc>
            </w:tr>
            <w:tr>
              <w:tc>
                <w:tcPr>
                  <w:tcW w:type="dxa" w:w="201"/>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硬件设备巡检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2339</w:t>
                  </w:r>
                  <w:r>
                    <w:rPr>
                      <w:rFonts w:ascii="仿宋_GB2312" w:hAnsi="仿宋_GB2312" w:cs="仿宋_GB2312" w:eastAsia="仿宋_GB2312"/>
                      <w:sz w:val="24"/>
                    </w:rPr>
                    <w:t>台车辆定位终端维修、定期巡检、维护保养、升级。</w:t>
                  </w:r>
                </w:p>
              </w:tc>
              <w:tc>
                <w:tcPr>
                  <w:tcW w:type="dxa" w:w="382"/>
                  <w:vMerge/>
                  <w:tcBorders>
                    <w:top w:val="single" w:color="000000" w:sz="4"/>
                    <w:left w:val="none" w:color="000000" w:sz="4"/>
                    <w:bottom w:val="single" w:color="000000" w:sz="4"/>
                    <w:right w:val="single" w:color="000000" w:sz="4"/>
                  </w:tcBorders>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服务期三年，自2025年8月8日起至2028年8月8日止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陕西省机关事务服务中心指定地点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验收须以合同、招投标文件、澄清、及国家相应的标准、规范等为依据。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如发生争议，双方应首先友好协商解决；协商不成的，任何一方均可向西安市新城区人民法院提起诉讼。在争议解决期间，除争议事项外，双方应继续履行本合同其他无争议的条款，确保平台运维服务的正常进行，避免因争议影响公务用车管理工作。</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投标人资质证明文件.docx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响应文件截止时间前半年内任意一个月的社会保障资金（养老保险或医疗保险）的缴纳证明或有效期内的劳动合同及被授权人身份证。</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提供投标文件截止时间前一年内至少一个月已缴纳的纳税证明或完税证明（任意税种）；依法免税的投标人应提供相关文件证明</w:t>
            </w:r>
          </w:p>
        </w:tc>
        <w:tc>
          <w:tcPr>
            <w:tcW w:type="dxa" w:w="1661"/>
          </w:tcPr>
          <w:p>
            <w:pPr>
              <w:pStyle w:val="null3"/>
            </w:pPr>
            <w:r>
              <w:rPr>
                <w:rFonts w:ascii="仿宋_GB2312" w:hAnsi="仿宋_GB2312" w:cs="仿宋_GB2312" w:eastAsia="仿宋_GB2312"/>
              </w:rPr>
              <w:t>投标人资质证明文件.docx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投标人资质证明文件.docx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投标人资质证明文件.docx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投标文件初审审查</w:t>
            </w:r>
          </w:p>
        </w:tc>
        <w:tc>
          <w:tcPr>
            <w:tcW w:type="dxa" w:w="3322"/>
          </w:tcPr>
          <w:p>
            <w:pPr>
              <w:pStyle w:val="null3"/>
            </w:pPr>
            <w:r>
              <w:rPr>
                <w:rFonts w:ascii="仿宋_GB2312" w:hAnsi="仿宋_GB2312" w:cs="仿宋_GB2312" w:eastAsia="仿宋_GB2312"/>
              </w:rPr>
              <w:t>据招标文件规定，从投标文件的有效性、完整性和对投标文件的响应程度进行审查。出现下列情况之一者（但不限于），不得进入最终报价环节：（1）投标人的投标报价超过采购预算或最高限价的；（2）投标文件是否按招标文 件要求的数量、语言、计量单位、报价货币及签字盖章；（3）无投标有效期或有效期达不到招标文件要求的；（4）投标文件附加了采购人难以接受的条件或条款的；（5）投标文件未实质性响应招标文件要求的； （6）不符合法律、法规和招标文件中规定的其他实质性要求的</w:t>
            </w:r>
          </w:p>
        </w:tc>
        <w:tc>
          <w:tcPr>
            <w:tcW w:type="dxa" w:w="1661"/>
          </w:tcPr>
          <w:p>
            <w:pPr>
              <w:pStyle w:val="null3"/>
            </w:pPr>
            <w:r>
              <w:rPr>
                <w:rFonts w:ascii="仿宋_GB2312" w:hAnsi="仿宋_GB2312" w:cs="仿宋_GB2312" w:eastAsia="仿宋_GB2312"/>
              </w:rPr>
              <w:t>开标一览表 服务内容及服务邀请应答表 中小企业声明函 商务应答表 服务方案 投标文件封面 对文件及合同条款的承诺.docx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针对项目的背景、现状及需求、平台当前存在的问题、维保目标是否准确进行赋分。对项目理解到位、可操作性强；[8-10分] 对项目理解较到位、可操作性较强；[5 - 8分） 对 项目理解不够到位、可操作性较差 。[0 - 5分）未提供或其他情况不得分。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提供周密的维保方案，人员分工明确，配套质量管理、安全管理等各项措施完善，能保障售后服务的协调性、及时性；能够体现项目特点 ;服务重点和管理重点明确，充分满足招标文件要求。 维保方案齐全 合理、可操作性强；[13-20分] 维保方案基本满足项目需求；[5 - 13 分）维保方案不完整或合理性低。 [ 0 - 5分）未提供或其他情况不得分。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设备维护方案</w:t>
            </w:r>
          </w:p>
        </w:tc>
        <w:tc>
          <w:tcPr>
            <w:tcW w:type="dxa" w:w="2492"/>
          </w:tcPr>
          <w:p>
            <w:pPr>
              <w:pStyle w:val="null3"/>
            </w:pPr>
            <w:r>
              <w:rPr>
                <w:rFonts w:ascii="仿宋_GB2312" w:hAnsi="仿宋_GB2312" w:cs="仿宋_GB2312" w:eastAsia="仿宋_GB2312"/>
              </w:rPr>
              <w:t>按照招标要求所列设备的完整性、可操作性进行赋分。 设备维护方案合理、可操作性强；[7-10分] 设备维护方案基本满足项目需求；[5 - 7分）设备维护方案不完整或合理性低。[ 0 - 5分）未提供或其他情况不得分。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服务标准</w:t>
            </w:r>
          </w:p>
        </w:tc>
        <w:tc>
          <w:tcPr>
            <w:tcW w:type="dxa" w:w="2492"/>
          </w:tcPr>
          <w:p>
            <w:pPr>
              <w:pStyle w:val="null3"/>
            </w:pPr>
            <w:r>
              <w:rPr>
                <w:rFonts w:ascii="仿宋_GB2312" w:hAnsi="仿宋_GB2312" w:cs="仿宋_GB2312" w:eastAsia="仿宋_GB2312"/>
              </w:rPr>
              <w:t>建立日常维护制度、巡检制度，分析系统运行状况，查看系统日志，排查故障和进行性能优化，进行预防性检测和应急措施，提供书面维护报告，具有操作培训措施。服务标准合理可行，明确具体；[7-10分] 服务标准较合理可行、较明确具体；[5 - 7分） 服务标准缺失或者描述不详细不具体。[0 - 5分）未提供或其他情况不得分。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根据供应商针对本项目提供的保密措施（包括但不限于技术资料、商业秘密和商业信息、电子数据及现场管理的保密及应对措施等方面）进行评审： 1.保密措施全面完善，应对措施切实可行、有针对性，完全满足项目采购要求，得[7-10分]； 2.保密措施比较全面完善，应对措施基本切实可行，比较有针对性，基本满足项目采购要求，得[5 - 7分）； 3.保密措施不够全面完善，应对措施不够切实可行，针对性较差，部分满足项目采购要求，得[0 - 5分）。未提供或其他情况不得分。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员工管理</w:t>
            </w:r>
          </w:p>
        </w:tc>
        <w:tc>
          <w:tcPr>
            <w:tcW w:type="dxa" w:w="2492"/>
          </w:tcPr>
          <w:p>
            <w:pPr>
              <w:pStyle w:val="null3"/>
            </w:pPr>
            <w:r>
              <w:rPr>
                <w:rFonts w:ascii="仿宋_GB2312" w:hAnsi="仿宋_GB2312" w:cs="仿宋_GB2312" w:eastAsia="仿宋_GB2312"/>
              </w:rPr>
              <w:t>根据供应商针对本项目提供的符合实际情况的培训、行政管理制度及考核办法、风险管控、岗位考核细则、工作人员奖惩制度等进行评审： 1.各项制度方法完整明确、具有针对性得[3-5分]；2.各项制度方法较完整明确、针对性一般得[0- 3分）； 3.未提供或其他情况不得分。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根据供应商提供针对本项目的售后服务方案进行评审： 1.售后服务方案详细，完全满足采购需求得[3-5分]； 2.售后服务方案基本完整，基本满足采购需求得[0- 3分）；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服务承诺及培训方案</w:t>
            </w:r>
          </w:p>
        </w:tc>
        <w:tc>
          <w:tcPr>
            <w:tcW w:type="dxa" w:w="2492"/>
          </w:tcPr>
          <w:p>
            <w:pPr>
              <w:pStyle w:val="null3"/>
            </w:pPr>
            <w:r>
              <w:rPr>
                <w:rFonts w:ascii="仿宋_GB2312" w:hAnsi="仿宋_GB2312" w:cs="仿宋_GB2312" w:eastAsia="仿宋_GB2312"/>
              </w:rPr>
              <w:t>服务承诺：（5分）供应商提供相应服务承诺及针对突发状况的解决方案。内容包括但不限于①承诺服务内容②服务期限③服务方式和响应时间④本地化服务等。 服务承诺方案齐全合理、可操作性强[4-5分]； 服务承诺方案基本满足项目需求[2-4分）； 服务承诺方案不完整或合理性低[0-2分）。未提供或其他情况不得分。 培训方案：（5分）提供详尽的培训方案，培训计划及内容、人员、课时安排合理。 培训方案齐全合理 、可操作性强；[4-5分] 培训方案 基本满足项目需求；[2-4分）培训方案不完整或合理性低。[0-2分）未提供或其他情况不得分。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近三年（2022年01月01日起至投标响应文件递交截止时间）有同类项目业绩，每有1项得2分，最多得10分。 注：同类项目业绩以提供的合同协议书复印件为准。时间以合同协议书签订时间为准。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详见附件：投标人资质证明文件.docx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详见附件：对文件及合同条款的承诺.docx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