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D43CB">
      <w:pPr>
        <w:ind w:firstLine="0" w:firstLineChars="0"/>
        <w:rPr>
          <w:rFonts w:hint="eastAsia" w:ascii="仿宋" w:hAnsi="仿宋" w:eastAsia="仿宋" w:cs="仿宋"/>
          <w:color w:val="auto"/>
          <w:szCs w:val="22"/>
          <w:lang w:val="en-US" w:eastAsia="zh-CN"/>
        </w:rPr>
      </w:pPr>
      <w:r>
        <w:rPr>
          <w:rFonts w:hint="eastAsia" w:ascii="仿宋" w:hAnsi="仿宋" w:eastAsia="仿宋" w:cs="仿宋"/>
          <w:b/>
          <w:bCs/>
          <w:color w:val="auto"/>
          <w:sz w:val="28"/>
        </w:rPr>
        <w:t>项目编号：HXGJXM2025-ZC-GK1025</w:t>
      </w:r>
    </w:p>
    <w:p w14:paraId="5341943B">
      <w:pPr>
        <w:ind w:firstLine="0" w:firstLineChars="0"/>
        <w:rPr>
          <w:rFonts w:hint="eastAsia" w:ascii="仿宋" w:hAnsi="仿宋" w:eastAsia="仿宋" w:cs="仿宋"/>
          <w:b/>
          <w:bCs/>
          <w:color w:val="auto"/>
          <w:sz w:val="28"/>
        </w:rPr>
      </w:pPr>
    </w:p>
    <w:p w14:paraId="4E232B56">
      <w:pPr>
        <w:ind w:firstLine="0" w:firstLineChars="0"/>
        <w:rPr>
          <w:rFonts w:hint="eastAsia" w:ascii="仿宋" w:hAnsi="仿宋" w:eastAsia="仿宋" w:cs="仿宋"/>
          <w:color w:val="auto"/>
          <w:szCs w:val="22"/>
        </w:rPr>
      </w:pPr>
    </w:p>
    <w:p w14:paraId="0A0347B9">
      <w:pPr>
        <w:ind w:firstLine="0" w:firstLineChars="0"/>
        <w:rPr>
          <w:rFonts w:hint="eastAsia" w:ascii="仿宋" w:hAnsi="仿宋" w:eastAsia="仿宋" w:cs="仿宋"/>
          <w:color w:val="auto"/>
          <w:szCs w:val="22"/>
        </w:rPr>
      </w:pPr>
    </w:p>
    <w:p w14:paraId="55BA81AC">
      <w:pPr>
        <w:ind w:firstLine="0" w:firstLineChars="0"/>
        <w:rPr>
          <w:rFonts w:hint="eastAsia" w:ascii="仿宋" w:hAnsi="仿宋" w:eastAsia="仿宋" w:cs="仿宋"/>
          <w:color w:val="auto"/>
          <w:szCs w:val="22"/>
        </w:rPr>
      </w:pPr>
    </w:p>
    <w:p w14:paraId="16CDCBEE">
      <w:pPr>
        <w:ind w:firstLine="0" w:firstLineChars="0"/>
        <w:jc w:val="center"/>
        <w:rPr>
          <w:rFonts w:hint="eastAsia" w:ascii="仿宋" w:hAnsi="仿宋" w:eastAsia="仿宋" w:cs="仿宋"/>
          <w:b/>
          <w:color w:val="auto"/>
          <w:sz w:val="72"/>
          <w:szCs w:val="72"/>
        </w:rPr>
      </w:pPr>
      <w:bookmarkStart w:id="0" w:name="_Toc487900382"/>
      <w:r>
        <w:rPr>
          <w:rFonts w:hint="eastAsia" w:ascii="仿宋" w:hAnsi="仿宋" w:eastAsia="仿宋" w:cs="仿宋"/>
          <w:b/>
          <w:color w:val="auto"/>
          <w:sz w:val="72"/>
          <w:szCs w:val="72"/>
        </w:rPr>
        <w:t>采购合同</w:t>
      </w:r>
      <w:bookmarkEnd w:id="0"/>
    </w:p>
    <w:p w14:paraId="5E92C547">
      <w:pPr>
        <w:pStyle w:val="2"/>
        <w:ind w:firstLine="0" w:firstLineChars="0"/>
        <w:jc w:val="center"/>
        <w:rPr>
          <w:rFonts w:hint="eastAsia" w:ascii="仿宋" w:hAnsi="仿宋" w:eastAsia="仿宋" w:cs="仿宋"/>
          <w:color w:val="auto"/>
          <w:sz w:val="28"/>
        </w:rPr>
      </w:pPr>
    </w:p>
    <w:p w14:paraId="396A9A76">
      <w:pPr>
        <w:pStyle w:val="2"/>
        <w:ind w:firstLine="0" w:firstLineChars="0"/>
        <w:jc w:val="center"/>
        <w:rPr>
          <w:rFonts w:hint="eastAsia" w:ascii="仿宋" w:hAnsi="仿宋" w:eastAsia="仿宋" w:cs="仿宋"/>
          <w:color w:val="auto"/>
        </w:rPr>
      </w:pPr>
    </w:p>
    <w:p w14:paraId="3390D649">
      <w:pPr>
        <w:ind w:firstLine="0" w:firstLineChars="0"/>
        <w:jc w:val="center"/>
        <w:rPr>
          <w:rFonts w:hint="eastAsia" w:ascii="仿宋" w:hAnsi="仿宋" w:eastAsia="仿宋" w:cs="仿宋"/>
          <w:color w:val="auto"/>
        </w:rPr>
      </w:pPr>
    </w:p>
    <w:p w14:paraId="087F6D0A">
      <w:pPr>
        <w:pStyle w:val="2"/>
        <w:ind w:firstLine="0" w:firstLineChars="0"/>
        <w:jc w:val="center"/>
        <w:rPr>
          <w:rFonts w:hint="eastAsia" w:ascii="仿宋" w:hAnsi="仿宋" w:eastAsia="仿宋" w:cs="仿宋"/>
          <w:color w:val="auto"/>
        </w:rPr>
      </w:pPr>
    </w:p>
    <w:p w14:paraId="6E96B855">
      <w:pPr>
        <w:spacing w:before="120"/>
        <w:ind w:firstLine="0" w:firstLineChars="0"/>
        <w:jc w:val="center"/>
        <w:rPr>
          <w:rFonts w:hint="eastAsia" w:ascii="仿宋" w:hAnsi="仿宋" w:eastAsia="仿宋" w:cs="仿宋"/>
          <w:color w:val="auto"/>
        </w:rPr>
      </w:pPr>
    </w:p>
    <w:p w14:paraId="68635388">
      <w:pPr>
        <w:adjustRightInd w:val="0"/>
        <w:snapToGrid w:val="0"/>
        <w:spacing w:before="120" w:line="360" w:lineRule="auto"/>
        <w:ind w:firstLine="0" w:firstLineChars="0"/>
        <w:jc w:val="center"/>
        <w:rPr>
          <w:rFonts w:hint="eastAsia" w:ascii="仿宋" w:hAnsi="仿宋" w:eastAsia="仿宋" w:cs="仿宋"/>
          <w:b/>
          <w:color w:val="auto"/>
          <w:sz w:val="48"/>
          <w:szCs w:val="48"/>
          <w:lang w:val="en-US"/>
        </w:rPr>
      </w:pPr>
      <w:r>
        <w:rPr>
          <w:rFonts w:hint="eastAsia" w:ascii="仿宋" w:hAnsi="仿宋" w:eastAsia="仿宋" w:cs="仿宋"/>
          <w:b/>
          <w:color w:val="auto"/>
          <w:sz w:val="48"/>
          <w:szCs w:val="48"/>
        </w:rPr>
        <w:t>项目名称：智慧教室升级改造建设项目</w:t>
      </w:r>
    </w:p>
    <w:p w14:paraId="6CDD1DF0">
      <w:pPr>
        <w:pStyle w:val="7"/>
        <w:spacing w:before="120"/>
        <w:ind w:firstLine="0" w:firstLineChars="0"/>
        <w:jc w:val="center"/>
        <w:rPr>
          <w:rFonts w:hint="eastAsia" w:ascii="仿宋" w:hAnsi="仿宋" w:eastAsia="仿宋" w:cs="仿宋"/>
          <w:color w:val="auto"/>
        </w:rPr>
      </w:pPr>
    </w:p>
    <w:p w14:paraId="3860CB9C">
      <w:pPr>
        <w:pStyle w:val="7"/>
        <w:spacing w:before="120"/>
        <w:ind w:firstLine="0" w:firstLineChars="0"/>
        <w:jc w:val="center"/>
        <w:rPr>
          <w:rFonts w:hint="eastAsia" w:ascii="仿宋" w:hAnsi="仿宋" w:eastAsia="仿宋" w:cs="仿宋"/>
          <w:color w:val="auto"/>
        </w:rPr>
      </w:pPr>
    </w:p>
    <w:p w14:paraId="7E459475">
      <w:pPr>
        <w:ind w:firstLine="593"/>
        <w:rPr>
          <w:rFonts w:hint="eastAsia" w:ascii="仿宋" w:hAnsi="仿宋" w:eastAsia="仿宋" w:cs="仿宋"/>
          <w:color w:val="auto"/>
        </w:rPr>
      </w:pPr>
    </w:p>
    <w:p w14:paraId="31581A82">
      <w:pPr>
        <w:spacing w:before="120"/>
        <w:ind w:firstLine="1920" w:firstLineChars="600"/>
        <w:jc w:val="both"/>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甲方：宝鸡文理学院</w:t>
      </w:r>
    </w:p>
    <w:p w14:paraId="45E599DF">
      <w:pPr>
        <w:spacing w:before="120"/>
        <w:ind w:left="1050" w:leftChars="500" w:firstLine="0" w:firstLineChars="0"/>
        <w:jc w:val="center"/>
        <w:rPr>
          <w:rFonts w:hint="eastAsia" w:ascii="仿宋" w:hAnsi="仿宋" w:eastAsia="仿宋" w:cs="仿宋"/>
          <w:color w:val="auto"/>
          <w:sz w:val="32"/>
          <w:szCs w:val="32"/>
        </w:rPr>
      </w:pPr>
    </w:p>
    <w:p w14:paraId="1C7513DE">
      <w:pPr>
        <w:spacing w:before="120"/>
        <w:ind w:firstLine="1920" w:firstLineChars="600"/>
        <w:jc w:val="both"/>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乙方：</w:t>
      </w:r>
      <w:r>
        <w:rPr>
          <w:rFonts w:hint="eastAsia" w:ascii="仿宋" w:hAnsi="仿宋" w:eastAsia="仿宋" w:cs="仿宋"/>
          <w:color w:val="auto"/>
          <w:sz w:val="32"/>
          <w:szCs w:val="32"/>
          <w:u w:val="single"/>
          <w:lang w:val="en-US" w:eastAsia="zh-CN"/>
        </w:rPr>
        <w:t xml:space="preserve">                                   </w:t>
      </w:r>
    </w:p>
    <w:p w14:paraId="2EE8DBF2">
      <w:pPr>
        <w:spacing w:before="120"/>
        <w:ind w:left="1050" w:leftChars="500" w:firstLine="0" w:firstLineChars="0"/>
        <w:jc w:val="center"/>
        <w:rPr>
          <w:rFonts w:hint="eastAsia" w:ascii="仿宋" w:hAnsi="仿宋" w:eastAsia="仿宋" w:cs="仿宋"/>
          <w:color w:val="auto"/>
          <w:sz w:val="32"/>
          <w:szCs w:val="32"/>
        </w:rPr>
      </w:pPr>
    </w:p>
    <w:p w14:paraId="70AB7945">
      <w:pPr>
        <w:spacing w:before="120"/>
        <w:ind w:left="1050" w:leftChars="500" w:firstLine="0" w:firstLineChars="0"/>
        <w:jc w:val="center"/>
        <w:rPr>
          <w:rFonts w:hint="eastAsia" w:ascii="仿宋" w:hAnsi="仿宋" w:eastAsia="仿宋" w:cs="仿宋"/>
          <w:color w:val="auto"/>
          <w:sz w:val="32"/>
          <w:szCs w:val="32"/>
        </w:rPr>
      </w:pPr>
    </w:p>
    <w:p w14:paraId="131E0D8D">
      <w:pPr>
        <w:jc w:val="center"/>
        <w:rPr>
          <w:rFonts w:hint="eastAsia" w:ascii="仿宋" w:hAnsi="仿宋" w:eastAsia="仿宋" w:cs="仿宋"/>
          <w:szCs w:val="24"/>
        </w:rPr>
      </w:pPr>
      <w:r>
        <w:rPr>
          <w:rFonts w:hint="eastAsia" w:ascii="仿宋" w:hAnsi="仿宋" w:eastAsia="仿宋" w:cs="仿宋"/>
          <w:color w:val="auto"/>
          <w:sz w:val="32"/>
          <w:szCs w:val="32"/>
        </w:rPr>
        <w:t>签署日期：</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年</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月</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日</w:t>
      </w:r>
    </w:p>
    <w:p w14:paraId="1C150D43">
      <w:pPr>
        <w:rPr>
          <w:rFonts w:hint="eastAsia" w:ascii="仿宋" w:hAnsi="仿宋" w:eastAsia="仿宋" w:cs="仿宋"/>
          <w:szCs w:val="24"/>
        </w:rPr>
      </w:pPr>
      <w:r>
        <w:rPr>
          <w:rFonts w:hint="eastAsia" w:ascii="仿宋" w:hAnsi="仿宋" w:eastAsia="仿宋" w:cs="仿宋"/>
          <w:szCs w:val="24"/>
        </w:rPr>
        <w:br w:type="page"/>
      </w:r>
    </w:p>
    <w:p w14:paraId="5D00B9D7">
      <w:pPr>
        <w:spacing w:line="360" w:lineRule="auto"/>
        <w:rPr>
          <w:rFonts w:hint="eastAsia" w:ascii="仿宋" w:hAnsi="仿宋" w:eastAsia="仿宋" w:cs="仿宋"/>
          <w:szCs w:val="24"/>
          <w:u w:val="single"/>
        </w:rPr>
      </w:pPr>
      <w:r>
        <w:rPr>
          <w:rFonts w:hint="eastAsia" w:ascii="仿宋" w:hAnsi="仿宋" w:eastAsia="仿宋" w:cs="仿宋"/>
          <w:szCs w:val="24"/>
        </w:rPr>
        <w:t>甲方（委托方）：</w:t>
      </w:r>
      <w:r>
        <w:rPr>
          <w:rFonts w:hint="eastAsia" w:ascii="仿宋" w:hAnsi="仿宋" w:eastAsia="仿宋" w:cs="仿宋"/>
          <w:szCs w:val="24"/>
          <w:u w:val="single"/>
        </w:rPr>
        <w:t xml:space="preserve">                     </w:t>
      </w:r>
    </w:p>
    <w:p w14:paraId="7B55E468">
      <w:pPr>
        <w:spacing w:line="360" w:lineRule="auto"/>
        <w:rPr>
          <w:rFonts w:hint="eastAsia" w:ascii="仿宋" w:hAnsi="仿宋" w:eastAsia="仿宋" w:cs="仿宋"/>
          <w:szCs w:val="24"/>
        </w:rPr>
      </w:pPr>
      <w:r>
        <w:rPr>
          <w:rFonts w:hint="eastAsia" w:ascii="仿宋" w:hAnsi="仿宋" w:eastAsia="仿宋" w:cs="仿宋"/>
          <w:szCs w:val="24"/>
        </w:rPr>
        <w:t>乙方（受托方）：</w:t>
      </w:r>
      <w:r>
        <w:rPr>
          <w:rFonts w:hint="eastAsia" w:ascii="仿宋" w:hAnsi="仿宋" w:eastAsia="仿宋" w:cs="仿宋"/>
          <w:szCs w:val="24"/>
          <w:u w:val="single"/>
        </w:rPr>
        <w:t xml:space="preserve">                     </w:t>
      </w:r>
    </w:p>
    <w:p w14:paraId="39D487F8">
      <w:pPr>
        <w:adjustRightInd w:val="0"/>
        <w:snapToGrid w:val="0"/>
        <w:spacing w:line="360" w:lineRule="auto"/>
        <w:ind w:firstLine="420" w:firstLineChars="200"/>
        <w:rPr>
          <w:rFonts w:hint="eastAsia" w:ascii="仿宋" w:hAnsi="仿宋" w:eastAsia="仿宋" w:cs="仿宋"/>
          <w:szCs w:val="24"/>
          <w:u w:val="single"/>
        </w:rPr>
      </w:pPr>
      <w:r>
        <w:rPr>
          <w:rFonts w:hint="eastAsia" w:ascii="仿宋" w:hAnsi="仿宋" w:eastAsia="仿宋" w:cs="仿宋"/>
          <w:szCs w:val="24"/>
        </w:rPr>
        <w:t>根据</w:t>
      </w:r>
      <w:r>
        <w:rPr>
          <w:rFonts w:hint="eastAsia" w:ascii="仿宋" w:hAnsi="仿宋" w:eastAsia="仿宋" w:cs="仿宋"/>
          <w:szCs w:val="24"/>
          <w:u w:val="single"/>
        </w:rPr>
        <w:t>（     项目）</w:t>
      </w:r>
      <w:r>
        <w:rPr>
          <w:rFonts w:hint="eastAsia" w:ascii="仿宋" w:hAnsi="仿宋" w:eastAsia="仿宋" w:cs="仿宋"/>
          <w:szCs w:val="24"/>
        </w:rPr>
        <w:t>的采购结果，按照《中华人民共和国民法典》及其他有关法律、法规，遵循平等、自愿、公平和诚信的原则，双方就下述项目范围与相关服务事项协商一致，订立本合同。</w:t>
      </w:r>
    </w:p>
    <w:p w14:paraId="78799CFC">
      <w:pPr>
        <w:spacing w:line="360" w:lineRule="auto"/>
        <w:rPr>
          <w:rFonts w:hint="eastAsia" w:ascii="仿宋" w:hAnsi="仿宋" w:eastAsia="仿宋" w:cs="仿宋"/>
          <w:b/>
          <w:szCs w:val="24"/>
        </w:rPr>
      </w:pPr>
      <w:r>
        <w:rPr>
          <w:rFonts w:hint="eastAsia" w:ascii="仿宋" w:hAnsi="仿宋" w:eastAsia="仿宋" w:cs="仿宋"/>
          <w:b/>
          <w:szCs w:val="24"/>
        </w:rPr>
        <w:t>一、项目概况</w:t>
      </w:r>
    </w:p>
    <w:p w14:paraId="1C94E890">
      <w:pPr>
        <w:adjustRightInd w:val="0"/>
        <w:snapToGrid w:val="0"/>
        <w:spacing w:line="360" w:lineRule="auto"/>
        <w:ind w:firstLine="420" w:firstLineChars="200"/>
        <w:rPr>
          <w:rFonts w:hint="eastAsia" w:ascii="仿宋" w:hAnsi="仿宋" w:eastAsia="仿宋" w:cs="仿宋"/>
          <w:szCs w:val="24"/>
        </w:rPr>
      </w:pPr>
      <w:bookmarkStart w:id="1" w:name="_Toc14051"/>
      <w:bookmarkStart w:id="2" w:name="_Toc20252"/>
      <w:bookmarkStart w:id="3" w:name="_Toc9887"/>
      <w:r>
        <w:rPr>
          <w:rFonts w:hint="eastAsia" w:ascii="仿宋" w:hAnsi="仿宋" w:eastAsia="仿宋" w:cs="仿宋"/>
          <w:szCs w:val="24"/>
        </w:rPr>
        <w:t>1、项目名称：</w:t>
      </w:r>
      <w:r>
        <w:rPr>
          <w:rFonts w:hint="eastAsia" w:ascii="仿宋" w:hAnsi="仿宋" w:eastAsia="仿宋" w:cs="仿宋"/>
          <w:szCs w:val="24"/>
          <w:u w:val="single"/>
        </w:rPr>
        <w:t xml:space="preserve">                   </w:t>
      </w:r>
      <w:r>
        <w:rPr>
          <w:rFonts w:hint="eastAsia" w:ascii="仿宋" w:hAnsi="仿宋" w:eastAsia="仿宋" w:cs="仿宋"/>
          <w:szCs w:val="24"/>
        </w:rPr>
        <w:t>；</w:t>
      </w:r>
      <w:bookmarkEnd w:id="1"/>
      <w:bookmarkEnd w:id="2"/>
      <w:bookmarkEnd w:id="3"/>
    </w:p>
    <w:p w14:paraId="18C48BE2">
      <w:pPr>
        <w:adjustRightInd w:val="0"/>
        <w:snapToGrid w:val="0"/>
        <w:spacing w:line="360" w:lineRule="auto"/>
        <w:ind w:firstLine="420" w:firstLineChars="200"/>
        <w:rPr>
          <w:rFonts w:hint="eastAsia" w:ascii="仿宋" w:hAnsi="仿宋" w:eastAsia="仿宋" w:cs="仿宋"/>
          <w:szCs w:val="24"/>
        </w:rPr>
      </w:pPr>
      <w:bookmarkStart w:id="4" w:name="_Toc27168"/>
      <w:bookmarkStart w:id="5" w:name="_Toc7927"/>
      <w:bookmarkStart w:id="6" w:name="_Toc26738"/>
      <w:r>
        <w:rPr>
          <w:rFonts w:hint="eastAsia" w:ascii="仿宋" w:hAnsi="仿宋" w:eastAsia="仿宋" w:cs="仿宋"/>
          <w:szCs w:val="24"/>
        </w:rPr>
        <w:t>2、项目地点：</w:t>
      </w:r>
      <w:r>
        <w:rPr>
          <w:rFonts w:hint="eastAsia" w:ascii="仿宋" w:hAnsi="仿宋" w:eastAsia="仿宋" w:cs="仿宋"/>
          <w:szCs w:val="24"/>
          <w:u w:val="single"/>
        </w:rPr>
        <w:t xml:space="preserve">                   </w:t>
      </w:r>
      <w:r>
        <w:rPr>
          <w:rFonts w:hint="eastAsia" w:ascii="仿宋" w:hAnsi="仿宋" w:eastAsia="仿宋" w:cs="仿宋"/>
          <w:szCs w:val="24"/>
        </w:rPr>
        <w:t>；</w:t>
      </w:r>
      <w:bookmarkEnd w:id="4"/>
      <w:bookmarkEnd w:id="5"/>
      <w:bookmarkEnd w:id="6"/>
    </w:p>
    <w:p w14:paraId="2D3CF696">
      <w:pPr>
        <w:spacing w:line="360" w:lineRule="auto"/>
        <w:rPr>
          <w:rFonts w:hint="eastAsia" w:ascii="仿宋" w:hAnsi="仿宋" w:eastAsia="仿宋" w:cs="仿宋"/>
          <w:b/>
          <w:szCs w:val="24"/>
        </w:rPr>
      </w:pPr>
      <w:r>
        <w:rPr>
          <w:rFonts w:hint="eastAsia" w:ascii="仿宋" w:hAnsi="仿宋" w:eastAsia="仿宋" w:cs="仿宋"/>
          <w:b/>
          <w:szCs w:val="24"/>
        </w:rPr>
        <w:t>二、组成本合同的文件</w:t>
      </w:r>
    </w:p>
    <w:p w14:paraId="67DF94E6">
      <w:pPr>
        <w:adjustRightInd w:val="0"/>
        <w:snapToGrid w:val="0"/>
        <w:spacing w:line="360" w:lineRule="auto"/>
        <w:ind w:firstLine="415" w:firstLineChars="198"/>
        <w:rPr>
          <w:rFonts w:hint="eastAsia" w:ascii="仿宋" w:hAnsi="仿宋" w:eastAsia="仿宋" w:cs="仿宋"/>
          <w:szCs w:val="24"/>
        </w:rPr>
      </w:pPr>
      <w:r>
        <w:rPr>
          <w:rFonts w:hint="eastAsia" w:ascii="仿宋" w:hAnsi="仿宋" w:eastAsia="仿宋" w:cs="仿宋"/>
          <w:szCs w:val="24"/>
        </w:rPr>
        <w:t>1. 合同书；</w:t>
      </w:r>
    </w:p>
    <w:p w14:paraId="20B717F5">
      <w:pPr>
        <w:adjustRightInd w:val="0"/>
        <w:snapToGrid w:val="0"/>
        <w:spacing w:line="360" w:lineRule="auto"/>
        <w:ind w:firstLine="415" w:firstLineChars="198"/>
        <w:rPr>
          <w:rFonts w:hint="eastAsia" w:ascii="仿宋" w:hAnsi="仿宋" w:eastAsia="仿宋" w:cs="仿宋"/>
          <w:szCs w:val="24"/>
        </w:rPr>
      </w:pPr>
      <w:r>
        <w:rPr>
          <w:rFonts w:hint="eastAsia" w:ascii="仿宋" w:hAnsi="仿宋" w:eastAsia="仿宋" w:cs="仿宋"/>
          <w:szCs w:val="24"/>
        </w:rPr>
        <w:t xml:space="preserve">2. </w:t>
      </w:r>
      <w:r>
        <w:rPr>
          <w:rFonts w:hint="eastAsia" w:ascii="仿宋" w:hAnsi="仿宋" w:eastAsia="仿宋" w:cs="仿宋"/>
          <w:szCs w:val="24"/>
          <w:lang w:val="en-US" w:eastAsia="zh-CN"/>
        </w:rPr>
        <w:t>中标</w:t>
      </w:r>
      <w:r>
        <w:rPr>
          <w:rFonts w:hint="eastAsia" w:ascii="仿宋" w:hAnsi="仿宋" w:eastAsia="仿宋" w:cs="仿宋"/>
          <w:szCs w:val="24"/>
        </w:rPr>
        <w:t>通知书、</w:t>
      </w:r>
      <w:r>
        <w:rPr>
          <w:rFonts w:hint="eastAsia" w:ascii="仿宋" w:hAnsi="仿宋" w:eastAsia="仿宋" w:cs="仿宋"/>
          <w:szCs w:val="24"/>
          <w:lang w:val="en-US" w:eastAsia="zh-CN"/>
        </w:rPr>
        <w:t>投标</w:t>
      </w:r>
      <w:r>
        <w:rPr>
          <w:rFonts w:hint="eastAsia" w:ascii="仿宋" w:hAnsi="仿宋" w:eastAsia="仿宋" w:cs="仿宋"/>
          <w:szCs w:val="24"/>
        </w:rPr>
        <w:t>文件、</w:t>
      </w:r>
      <w:r>
        <w:rPr>
          <w:rFonts w:hint="eastAsia" w:ascii="仿宋" w:hAnsi="仿宋" w:eastAsia="仿宋" w:cs="仿宋"/>
          <w:szCs w:val="24"/>
          <w:lang w:val="en-US" w:eastAsia="zh-CN"/>
        </w:rPr>
        <w:t>招标</w:t>
      </w:r>
      <w:r>
        <w:rPr>
          <w:rFonts w:hint="eastAsia" w:ascii="仿宋" w:hAnsi="仿宋" w:eastAsia="仿宋" w:cs="仿宋"/>
          <w:szCs w:val="24"/>
        </w:rPr>
        <w:t>文件、澄清、补充文件；</w:t>
      </w:r>
    </w:p>
    <w:p w14:paraId="253FA6E9">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3. 相关服务建议书；</w:t>
      </w:r>
    </w:p>
    <w:p w14:paraId="3E394BAA">
      <w:pPr>
        <w:adjustRightInd w:val="0"/>
        <w:snapToGrid w:val="0"/>
        <w:spacing w:line="360" w:lineRule="auto"/>
        <w:rPr>
          <w:rFonts w:hint="eastAsia" w:ascii="仿宋" w:hAnsi="仿宋" w:eastAsia="仿宋" w:cs="仿宋"/>
          <w:szCs w:val="24"/>
        </w:rPr>
      </w:pPr>
      <w:r>
        <w:rPr>
          <w:rFonts w:hint="eastAsia" w:ascii="仿宋" w:hAnsi="仿宋" w:eastAsia="仿宋" w:cs="仿宋"/>
          <w:szCs w:val="24"/>
        </w:rPr>
        <w:t xml:space="preserve">    4. 附录，即：附表内相关服务的范围和内容；</w:t>
      </w:r>
    </w:p>
    <w:p w14:paraId="6DB6BC06">
      <w:pPr>
        <w:adjustRightInd w:val="0"/>
        <w:snapToGrid w:val="0"/>
        <w:spacing w:line="360" w:lineRule="auto"/>
        <w:ind w:firstLine="415" w:firstLineChars="198"/>
        <w:rPr>
          <w:rFonts w:hint="eastAsia" w:ascii="仿宋" w:hAnsi="仿宋" w:eastAsia="仿宋" w:cs="仿宋"/>
          <w:szCs w:val="24"/>
        </w:rPr>
      </w:pPr>
      <w:r>
        <w:rPr>
          <w:rFonts w:hint="eastAsia" w:ascii="仿宋" w:hAnsi="仿宋" w:eastAsia="仿宋" w:cs="仿宋"/>
          <w:szCs w:val="24"/>
        </w:rPr>
        <w:t>本合同签订后，双方依法签订的补充协议也是本合同文件的组成部分，具有同等法律效力。</w:t>
      </w:r>
    </w:p>
    <w:p w14:paraId="2A7F6129">
      <w:pPr>
        <w:spacing w:line="360" w:lineRule="auto"/>
        <w:rPr>
          <w:rFonts w:hint="eastAsia" w:ascii="仿宋" w:hAnsi="仿宋" w:eastAsia="仿宋" w:cs="仿宋"/>
          <w:b/>
          <w:szCs w:val="24"/>
        </w:rPr>
      </w:pPr>
      <w:r>
        <w:rPr>
          <w:rFonts w:hint="eastAsia" w:ascii="仿宋" w:hAnsi="仿宋" w:eastAsia="仿宋" w:cs="仿宋"/>
          <w:b/>
          <w:szCs w:val="24"/>
        </w:rPr>
        <w:t>三、合同总价</w:t>
      </w:r>
    </w:p>
    <w:p w14:paraId="71F3F88F">
      <w:pPr>
        <w:adjustRightInd w:val="0"/>
        <w:snapToGrid w:val="0"/>
        <w:spacing w:line="360" w:lineRule="auto"/>
        <w:ind w:firstLine="422" w:firstLineChars="200"/>
        <w:rPr>
          <w:rFonts w:hint="eastAsia" w:ascii="仿宋" w:hAnsi="仿宋" w:eastAsia="仿宋" w:cs="仿宋"/>
          <w:szCs w:val="24"/>
        </w:rPr>
      </w:pPr>
      <w:r>
        <w:rPr>
          <w:rFonts w:hint="eastAsia" w:ascii="仿宋" w:hAnsi="仿宋" w:eastAsia="仿宋" w:cs="仿宋"/>
          <w:b/>
          <w:szCs w:val="24"/>
        </w:rPr>
        <w:t>合同总价</w:t>
      </w:r>
      <w:r>
        <w:rPr>
          <w:rFonts w:hint="eastAsia" w:ascii="仿宋" w:hAnsi="仿宋" w:eastAsia="仿宋" w:cs="仿宋"/>
          <w:szCs w:val="24"/>
        </w:rPr>
        <w:t>（大写）：</w:t>
      </w:r>
      <w:r>
        <w:rPr>
          <w:rFonts w:hint="eastAsia" w:ascii="仿宋" w:hAnsi="仿宋" w:eastAsia="仿宋" w:cs="仿宋"/>
          <w:szCs w:val="24"/>
          <w:u w:val="single"/>
        </w:rPr>
        <w:t xml:space="preserve">                            </w:t>
      </w:r>
      <w:r>
        <w:rPr>
          <w:rFonts w:hint="eastAsia" w:ascii="仿宋" w:hAnsi="仿宋" w:eastAsia="仿宋" w:cs="仿宋"/>
          <w:szCs w:val="24"/>
        </w:rPr>
        <w:t>（¥        ）；</w:t>
      </w:r>
    </w:p>
    <w:p w14:paraId="022F82FE">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合同总价即中标价，总价包干，不受市场价变化或实际工作量变化的影响。合同价格为含税价，供应商提供产品发生的一切税（包括增值税）费等都已包含于合同价款中。</w:t>
      </w:r>
    </w:p>
    <w:p w14:paraId="575831F6">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附分项清单：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357"/>
        <w:gridCol w:w="1786"/>
        <w:gridCol w:w="853"/>
        <w:gridCol w:w="828"/>
        <w:gridCol w:w="1157"/>
        <w:gridCol w:w="1555"/>
      </w:tblGrid>
      <w:tr w14:paraId="75B09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1000" w:type="dxa"/>
            <w:noWrap w:val="0"/>
            <w:vAlign w:val="center"/>
          </w:tcPr>
          <w:p w14:paraId="75754355">
            <w:pPr>
              <w:adjustRightInd w:val="0"/>
              <w:snapToGrid w:val="0"/>
              <w:jc w:val="center"/>
              <w:rPr>
                <w:rFonts w:hint="eastAsia" w:ascii="仿宋" w:hAnsi="仿宋" w:eastAsia="仿宋" w:cs="仿宋"/>
                <w:szCs w:val="24"/>
              </w:rPr>
            </w:pPr>
            <w:r>
              <w:rPr>
                <w:rFonts w:hint="eastAsia" w:ascii="仿宋" w:hAnsi="仿宋" w:eastAsia="仿宋" w:cs="仿宋"/>
                <w:szCs w:val="24"/>
              </w:rPr>
              <w:t>序号</w:t>
            </w:r>
          </w:p>
        </w:tc>
        <w:tc>
          <w:tcPr>
            <w:tcW w:w="960" w:type="dxa"/>
            <w:noWrap w:val="0"/>
            <w:vAlign w:val="center"/>
          </w:tcPr>
          <w:p w14:paraId="47DC59A2">
            <w:pPr>
              <w:adjustRightInd w:val="0"/>
              <w:snapToGrid w:val="0"/>
              <w:jc w:val="center"/>
              <w:rPr>
                <w:rFonts w:hint="eastAsia" w:ascii="仿宋" w:hAnsi="仿宋" w:eastAsia="仿宋" w:cs="仿宋"/>
                <w:szCs w:val="24"/>
              </w:rPr>
            </w:pPr>
            <w:r>
              <w:rPr>
                <w:rFonts w:hint="eastAsia" w:ascii="仿宋" w:hAnsi="仿宋" w:eastAsia="仿宋" w:cs="仿宋"/>
                <w:szCs w:val="24"/>
              </w:rPr>
              <w:t>名称</w:t>
            </w:r>
          </w:p>
        </w:tc>
        <w:tc>
          <w:tcPr>
            <w:tcW w:w="1357" w:type="dxa"/>
            <w:noWrap w:val="0"/>
            <w:vAlign w:val="center"/>
          </w:tcPr>
          <w:p w14:paraId="255407A0">
            <w:pPr>
              <w:adjustRightInd w:val="0"/>
              <w:snapToGrid w:val="0"/>
              <w:jc w:val="center"/>
              <w:rPr>
                <w:rFonts w:hint="eastAsia" w:ascii="仿宋" w:hAnsi="仿宋" w:eastAsia="仿宋" w:cs="仿宋"/>
                <w:szCs w:val="24"/>
              </w:rPr>
            </w:pPr>
            <w:r>
              <w:rPr>
                <w:rFonts w:hint="eastAsia" w:ascii="仿宋" w:hAnsi="仿宋" w:eastAsia="仿宋" w:cs="仿宋"/>
                <w:szCs w:val="24"/>
              </w:rPr>
              <w:t>品牌</w:t>
            </w:r>
          </w:p>
        </w:tc>
        <w:tc>
          <w:tcPr>
            <w:tcW w:w="1786" w:type="dxa"/>
            <w:noWrap w:val="0"/>
            <w:vAlign w:val="center"/>
          </w:tcPr>
          <w:p w14:paraId="4069981A">
            <w:pPr>
              <w:adjustRightInd w:val="0"/>
              <w:snapToGrid w:val="0"/>
              <w:jc w:val="center"/>
              <w:rPr>
                <w:rFonts w:hint="eastAsia" w:ascii="仿宋" w:hAnsi="仿宋" w:eastAsia="仿宋" w:cs="仿宋"/>
                <w:szCs w:val="24"/>
              </w:rPr>
            </w:pPr>
            <w:r>
              <w:rPr>
                <w:rFonts w:hint="eastAsia" w:ascii="仿宋" w:hAnsi="仿宋" w:eastAsia="仿宋" w:cs="仿宋"/>
                <w:szCs w:val="24"/>
              </w:rPr>
              <w:t>规格型号</w:t>
            </w:r>
          </w:p>
        </w:tc>
        <w:tc>
          <w:tcPr>
            <w:tcW w:w="853" w:type="dxa"/>
            <w:noWrap w:val="0"/>
            <w:vAlign w:val="center"/>
          </w:tcPr>
          <w:p w14:paraId="7C69965A">
            <w:pPr>
              <w:adjustRightInd w:val="0"/>
              <w:snapToGrid w:val="0"/>
              <w:jc w:val="center"/>
              <w:rPr>
                <w:rFonts w:hint="eastAsia" w:ascii="仿宋" w:hAnsi="仿宋" w:eastAsia="仿宋" w:cs="仿宋"/>
                <w:szCs w:val="24"/>
              </w:rPr>
            </w:pPr>
            <w:r>
              <w:rPr>
                <w:rFonts w:hint="eastAsia" w:ascii="仿宋" w:hAnsi="仿宋" w:eastAsia="仿宋" w:cs="仿宋"/>
                <w:szCs w:val="24"/>
              </w:rPr>
              <w:t>数量</w:t>
            </w:r>
          </w:p>
        </w:tc>
        <w:tc>
          <w:tcPr>
            <w:tcW w:w="828" w:type="dxa"/>
            <w:noWrap w:val="0"/>
            <w:vAlign w:val="center"/>
          </w:tcPr>
          <w:p w14:paraId="746F1442">
            <w:pPr>
              <w:adjustRightInd w:val="0"/>
              <w:snapToGrid w:val="0"/>
              <w:jc w:val="center"/>
              <w:rPr>
                <w:rFonts w:hint="eastAsia" w:ascii="仿宋" w:hAnsi="仿宋" w:eastAsia="仿宋" w:cs="仿宋"/>
                <w:szCs w:val="24"/>
              </w:rPr>
            </w:pPr>
            <w:r>
              <w:rPr>
                <w:rFonts w:hint="eastAsia" w:ascii="仿宋" w:hAnsi="仿宋" w:eastAsia="仿宋" w:cs="仿宋"/>
                <w:szCs w:val="24"/>
              </w:rPr>
              <w:t>单位</w:t>
            </w:r>
          </w:p>
        </w:tc>
        <w:tc>
          <w:tcPr>
            <w:tcW w:w="1157" w:type="dxa"/>
            <w:noWrap w:val="0"/>
            <w:vAlign w:val="center"/>
          </w:tcPr>
          <w:p w14:paraId="0D909AB9">
            <w:pPr>
              <w:adjustRightInd w:val="0"/>
              <w:snapToGrid w:val="0"/>
              <w:jc w:val="center"/>
              <w:rPr>
                <w:rFonts w:hint="eastAsia" w:ascii="仿宋" w:hAnsi="仿宋" w:eastAsia="仿宋" w:cs="仿宋"/>
                <w:szCs w:val="24"/>
              </w:rPr>
            </w:pPr>
            <w:r>
              <w:rPr>
                <w:rFonts w:hint="eastAsia" w:ascii="仿宋" w:hAnsi="仿宋" w:eastAsia="仿宋" w:cs="仿宋"/>
                <w:szCs w:val="24"/>
              </w:rPr>
              <w:t>单价</w:t>
            </w:r>
          </w:p>
          <w:p w14:paraId="4656F2E4">
            <w:pPr>
              <w:adjustRightInd w:val="0"/>
              <w:snapToGrid w:val="0"/>
              <w:jc w:val="center"/>
              <w:rPr>
                <w:rFonts w:hint="eastAsia" w:ascii="仿宋" w:hAnsi="仿宋" w:eastAsia="仿宋" w:cs="仿宋"/>
                <w:szCs w:val="24"/>
              </w:rPr>
            </w:pPr>
            <w:r>
              <w:rPr>
                <w:rFonts w:hint="eastAsia" w:ascii="仿宋" w:hAnsi="仿宋" w:eastAsia="仿宋" w:cs="仿宋"/>
                <w:szCs w:val="24"/>
              </w:rPr>
              <w:t>（元）</w:t>
            </w:r>
          </w:p>
        </w:tc>
        <w:tc>
          <w:tcPr>
            <w:tcW w:w="1555" w:type="dxa"/>
            <w:noWrap w:val="0"/>
            <w:vAlign w:val="center"/>
          </w:tcPr>
          <w:p w14:paraId="38283369">
            <w:pPr>
              <w:adjustRightInd w:val="0"/>
              <w:snapToGrid w:val="0"/>
              <w:jc w:val="center"/>
              <w:rPr>
                <w:rFonts w:hint="eastAsia" w:ascii="仿宋" w:hAnsi="仿宋" w:eastAsia="仿宋" w:cs="仿宋"/>
                <w:szCs w:val="24"/>
              </w:rPr>
            </w:pPr>
            <w:r>
              <w:rPr>
                <w:rFonts w:hint="eastAsia" w:ascii="仿宋" w:hAnsi="仿宋" w:eastAsia="仿宋" w:cs="仿宋"/>
                <w:szCs w:val="24"/>
              </w:rPr>
              <w:t>合计</w:t>
            </w:r>
          </w:p>
          <w:p w14:paraId="48BF73E4">
            <w:pPr>
              <w:adjustRightInd w:val="0"/>
              <w:snapToGrid w:val="0"/>
              <w:jc w:val="center"/>
              <w:rPr>
                <w:rFonts w:hint="eastAsia" w:ascii="仿宋" w:hAnsi="仿宋" w:eastAsia="仿宋" w:cs="仿宋"/>
                <w:szCs w:val="24"/>
              </w:rPr>
            </w:pPr>
            <w:r>
              <w:rPr>
                <w:rFonts w:hint="eastAsia" w:ascii="仿宋" w:hAnsi="仿宋" w:eastAsia="仿宋" w:cs="仿宋"/>
                <w:szCs w:val="24"/>
              </w:rPr>
              <w:t>（元）</w:t>
            </w:r>
          </w:p>
        </w:tc>
      </w:tr>
      <w:tr w14:paraId="490D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07B64359">
            <w:pPr>
              <w:adjustRightInd w:val="0"/>
              <w:snapToGrid w:val="0"/>
              <w:jc w:val="center"/>
              <w:rPr>
                <w:rFonts w:hint="eastAsia" w:ascii="仿宋" w:hAnsi="仿宋" w:eastAsia="仿宋" w:cs="仿宋"/>
                <w:szCs w:val="24"/>
              </w:rPr>
            </w:pPr>
          </w:p>
        </w:tc>
        <w:tc>
          <w:tcPr>
            <w:tcW w:w="960" w:type="dxa"/>
            <w:noWrap w:val="0"/>
            <w:vAlign w:val="center"/>
          </w:tcPr>
          <w:p w14:paraId="6669AF8D">
            <w:pPr>
              <w:adjustRightInd w:val="0"/>
              <w:snapToGrid w:val="0"/>
              <w:jc w:val="center"/>
              <w:rPr>
                <w:rFonts w:hint="eastAsia" w:ascii="仿宋" w:hAnsi="仿宋" w:eastAsia="仿宋" w:cs="仿宋"/>
                <w:szCs w:val="24"/>
              </w:rPr>
            </w:pPr>
          </w:p>
        </w:tc>
        <w:tc>
          <w:tcPr>
            <w:tcW w:w="1357" w:type="dxa"/>
            <w:noWrap w:val="0"/>
            <w:vAlign w:val="center"/>
          </w:tcPr>
          <w:p w14:paraId="06BC5F90">
            <w:pPr>
              <w:adjustRightInd w:val="0"/>
              <w:snapToGrid w:val="0"/>
              <w:jc w:val="center"/>
              <w:rPr>
                <w:rFonts w:hint="eastAsia" w:ascii="仿宋" w:hAnsi="仿宋" w:eastAsia="仿宋" w:cs="仿宋"/>
                <w:szCs w:val="24"/>
              </w:rPr>
            </w:pPr>
          </w:p>
        </w:tc>
        <w:tc>
          <w:tcPr>
            <w:tcW w:w="1786" w:type="dxa"/>
            <w:noWrap w:val="0"/>
            <w:vAlign w:val="center"/>
          </w:tcPr>
          <w:p w14:paraId="6C3E40DA">
            <w:pPr>
              <w:adjustRightInd w:val="0"/>
              <w:snapToGrid w:val="0"/>
              <w:jc w:val="center"/>
              <w:rPr>
                <w:rFonts w:hint="eastAsia" w:ascii="仿宋" w:hAnsi="仿宋" w:eastAsia="仿宋" w:cs="仿宋"/>
                <w:szCs w:val="24"/>
              </w:rPr>
            </w:pPr>
          </w:p>
        </w:tc>
        <w:tc>
          <w:tcPr>
            <w:tcW w:w="853" w:type="dxa"/>
            <w:noWrap w:val="0"/>
            <w:vAlign w:val="center"/>
          </w:tcPr>
          <w:p w14:paraId="0C76AD6E">
            <w:pPr>
              <w:adjustRightInd w:val="0"/>
              <w:snapToGrid w:val="0"/>
              <w:jc w:val="center"/>
              <w:rPr>
                <w:rFonts w:hint="eastAsia" w:ascii="仿宋" w:hAnsi="仿宋" w:eastAsia="仿宋" w:cs="仿宋"/>
                <w:szCs w:val="24"/>
              </w:rPr>
            </w:pPr>
          </w:p>
        </w:tc>
        <w:tc>
          <w:tcPr>
            <w:tcW w:w="828" w:type="dxa"/>
            <w:noWrap w:val="0"/>
            <w:vAlign w:val="center"/>
          </w:tcPr>
          <w:p w14:paraId="7D3243C5">
            <w:pPr>
              <w:adjustRightInd w:val="0"/>
              <w:snapToGrid w:val="0"/>
              <w:jc w:val="center"/>
              <w:rPr>
                <w:rFonts w:hint="eastAsia" w:ascii="仿宋" w:hAnsi="仿宋" w:eastAsia="仿宋" w:cs="仿宋"/>
                <w:szCs w:val="24"/>
              </w:rPr>
            </w:pPr>
          </w:p>
        </w:tc>
        <w:tc>
          <w:tcPr>
            <w:tcW w:w="1157" w:type="dxa"/>
            <w:noWrap w:val="0"/>
            <w:vAlign w:val="center"/>
          </w:tcPr>
          <w:p w14:paraId="123583DD">
            <w:pPr>
              <w:adjustRightInd w:val="0"/>
              <w:snapToGrid w:val="0"/>
              <w:jc w:val="center"/>
              <w:rPr>
                <w:rFonts w:hint="eastAsia" w:ascii="仿宋" w:hAnsi="仿宋" w:eastAsia="仿宋" w:cs="仿宋"/>
                <w:szCs w:val="24"/>
              </w:rPr>
            </w:pPr>
          </w:p>
        </w:tc>
        <w:tc>
          <w:tcPr>
            <w:tcW w:w="1555" w:type="dxa"/>
            <w:noWrap w:val="0"/>
            <w:vAlign w:val="center"/>
          </w:tcPr>
          <w:p w14:paraId="513521E8">
            <w:pPr>
              <w:adjustRightInd w:val="0"/>
              <w:snapToGrid w:val="0"/>
              <w:jc w:val="center"/>
              <w:rPr>
                <w:rFonts w:hint="eastAsia" w:ascii="仿宋" w:hAnsi="仿宋" w:eastAsia="仿宋" w:cs="仿宋"/>
                <w:szCs w:val="24"/>
              </w:rPr>
            </w:pPr>
          </w:p>
        </w:tc>
      </w:tr>
      <w:tr w14:paraId="0FD9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6062E7AB">
            <w:pPr>
              <w:adjustRightInd w:val="0"/>
              <w:snapToGrid w:val="0"/>
              <w:jc w:val="center"/>
              <w:rPr>
                <w:rFonts w:hint="eastAsia" w:ascii="仿宋" w:hAnsi="仿宋" w:eastAsia="仿宋" w:cs="仿宋"/>
                <w:szCs w:val="24"/>
              </w:rPr>
            </w:pPr>
          </w:p>
        </w:tc>
        <w:tc>
          <w:tcPr>
            <w:tcW w:w="960" w:type="dxa"/>
            <w:noWrap w:val="0"/>
            <w:vAlign w:val="center"/>
          </w:tcPr>
          <w:p w14:paraId="57AE6E63">
            <w:pPr>
              <w:adjustRightInd w:val="0"/>
              <w:snapToGrid w:val="0"/>
              <w:jc w:val="center"/>
              <w:rPr>
                <w:rFonts w:hint="eastAsia" w:ascii="仿宋" w:hAnsi="仿宋" w:eastAsia="仿宋" w:cs="仿宋"/>
                <w:szCs w:val="24"/>
              </w:rPr>
            </w:pPr>
          </w:p>
        </w:tc>
        <w:tc>
          <w:tcPr>
            <w:tcW w:w="1357" w:type="dxa"/>
            <w:noWrap w:val="0"/>
            <w:vAlign w:val="center"/>
          </w:tcPr>
          <w:p w14:paraId="0E2A226A">
            <w:pPr>
              <w:adjustRightInd w:val="0"/>
              <w:snapToGrid w:val="0"/>
              <w:jc w:val="center"/>
              <w:rPr>
                <w:rFonts w:hint="eastAsia" w:ascii="仿宋" w:hAnsi="仿宋" w:eastAsia="仿宋" w:cs="仿宋"/>
                <w:szCs w:val="24"/>
              </w:rPr>
            </w:pPr>
          </w:p>
        </w:tc>
        <w:tc>
          <w:tcPr>
            <w:tcW w:w="1786" w:type="dxa"/>
            <w:noWrap w:val="0"/>
            <w:vAlign w:val="center"/>
          </w:tcPr>
          <w:p w14:paraId="083D4CD4">
            <w:pPr>
              <w:adjustRightInd w:val="0"/>
              <w:snapToGrid w:val="0"/>
              <w:jc w:val="center"/>
              <w:rPr>
                <w:rFonts w:hint="eastAsia" w:ascii="仿宋" w:hAnsi="仿宋" w:eastAsia="仿宋" w:cs="仿宋"/>
                <w:szCs w:val="24"/>
              </w:rPr>
            </w:pPr>
          </w:p>
        </w:tc>
        <w:tc>
          <w:tcPr>
            <w:tcW w:w="853" w:type="dxa"/>
            <w:noWrap w:val="0"/>
            <w:vAlign w:val="center"/>
          </w:tcPr>
          <w:p w14:paraId="373D9427">
            <w:pPr>
              <w:adjustRightInd w:val="0"/>
              <w:snapToGrid w:val="0"/>
              <w:jc w:val="center"/>
              <w:rPr>
                <w:rFonts w:hint="eastAsia" w:ascii="仿宋" w:hAnsi="仿宋" w:eastAsia="仿宋" w:cs="仿宋"/>
                <w:szCs w:val="24"/>
              </w:rPr>
            </w:pPr>
          </w:p>
        </w:tc>
        <w:tc>
          <w:tcPr>
            <w:tcW w:w="828" w:type="dxa"/>
            <w:noWrap w:val="0"/>
            <w:vAlign w:val="center"/>
          </w:tcPr>
          <w:p w14:paraId="65F3B3BE">
            <w:pPr>
              <w:adjustRightInd w:val="0"/>
              <w:snapToGrid w:val="0"/>
              <w:jc w:val="center"/>
              <w:rPr>
                <w:rFonts w:hint="eastAsia" w:ascii="仿宋" w:hAnsi="仿宋" w:eastAsia="仿宋" w:cs="仿宋"/>
                <w:szCs w:val="24"/>
              </w:rPr>
            </w:pPr>
          </w:p>
        </w:tc>
        <w:tc>
          <w:tcPr>
            <w:tcW w:w="1157" w:type="dxa"/>
            <w:noWrap w:val="0"/>
            <w:vAlign w:val="center"/>
          </w:tcPr>
          <w:p w14:paraId="770D825F">
            <w:pPr>
              <w:adjustRightInd w:val="0"/>
              <w:snapToGrid w:val="0"/>
              <w:jc w:val="center"/>
              <w:rPr>
                <w:rFonts w:hint="eastAsia" w:ascii="仿宋" w:hAnsi="仿宋" w:eastAsia="仿宋" w:cs="仿宋"/>
                <w:szCs w:val="24"/>
              </w:rPr>
            </w:pPr>
          </w:p>
        </w:tc>
        <w:tc>
          <w:tcPr>
            <w:tcW w:w="1555" w:type="dxa"/>
            <w:noWrap w:val="0"/>
            <w:vAlign w:val="center"/>
          </w:tcPr>
          <w:p w14:paraId="38A515DC">
            <w:pPr>
              <w:adjustRightInd w:val="0"/>
              <w:snapToGrid w:val="0"/>
              <w:jc w:val="center"/>
              <w:rPr>
                <w:rFonts w:hint="eastAsia" w:ascii="仿宋" w:hAnsi="仿宋" w:eastAsia="仿宋" w:cs="仿宋"/>
                <w:szCs w:val="24"/>
              </w:rPr>
            </w:pPr>
          </w:p>
        </w:tc>
      </w:tr>
      <w:tr w14:paraId="50801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46196C12">
            <w:pPr>
              <w:adjustRightInd w:val="0"/>
              <w:snapToGrid w:val="0"/>
              <w:jc w:val="center"/>
              <w:rPr>
                <w:rFonts w:hint="eastAsia" w:ascii="仿宋" w:hAnsi="仿宋" w:eastAsia="仿宋" w:cs="仿宋"/>
                <w:szCs w:val="24"/>
              </w:rPr>
            </w:pPr>
          </w:p>
        </w:tc>
        <w:tc>
          <w:tcPr>
            <w:tcW w:w="960" w:type="dxa"/>
            <w:noWrap w:val="0"/>
            <w:vAlign w:val="center"/>
          </w:tcPr>
          <w:p w14:paraId="514BA548">
            <w:pPr>
              <w:adjustRightInd w:val="0"/>
              <w:snapToGrid w:val="0"/>
              <w:jc w:val="center"/>
              <w:rPr>
                <w:rFonts w:hint="eastAsia" w:ascii="仿宋" w:hAnsi="仿宋" w:eastAsia="仿宋" w:cs="仿宋"/>
                <w:szCs w:val="24"/>
              </w:rPr>
            </w:pPr>
          </w:p>
        </w:tc>
        <w:tc>
          <w:tcPr>
            <w:tcW w:w="1357" w:type="dxa"/>
            <w:noWrap w:val="0"/>
            <w:vAlign w:val="center"/>
          </w:tcPr>
          <w:p w14:paraId="569423A2">
            <w:pPr>
              <w:adjustRightInd w:val="0"/>
              <w:snapToGrid w:val="0"/>
              <w:jc w:val="center"/>
              <w:rPr>
                <w:rFonts w:hint="eastAsia" w:ascii="仿宋" w:hAnsi="仿宋" w:eastAsia="仿宋" w:cs="仿宋"/>
                <w:szCs w:val="24"/>
              </w:rPr>
            </w:pPr>
          </w:p>
        </w:tc>
        <w:tc>
          <w:tcPr>
            <w:tcW w:w="1786" w:type="dxa"/>
            <w:noWrap w:val="0"/>
            <w:vAlign w:val="center"/>
          </w:tcPr>
          <w:p w14:paraId="06779C09">
            <w:pPr>
              <w:adjustRightInd w:val="0"/>
              <w:snapToGrid w:val="0"/>
              <w:jc w:val="center"/>
              <w:rPr>
                <w:rFonts w:hint="eastAsia" w:ascii="仿宋" w:hAnsi="仿宋" w:eastAsia="仿宋" w:cs="仿宋"/>
                <w:szCs w:val="24"/>
              </w:rPr>
            </w:pPr>
          </w:p>
        </w:tc>
        <w:tc>
          <w:tcPr>
            <w:tcW w:w="853" w:type="dxa"/>
            <w:noWrap w:val="0"/>
            <w:vAlign w:val="center"/>
          </w:tcPr>
          <w:p w14:paraId="0AE9A16E">
            <w:pPr>
              <w:adjustRightInd w:val="0"/>
              <w:snapToGrid w:val="0"/>
              <w:jc w:val="center"/>
              <w:rPr>
                <w:rFonts w:hint="eastAsia" w:ascii="仿宋" w:hAnsi="仿宋" w:eastAsia="仿宋" w:cs="仿宋"/>
                <w:szCs w:val="24"/>
              </w:rPr>
            </w:pPr>
          </w:p>
        </w:tc>
        <w:tc>
          <w:tcPr>
            <w:tcW w:w="828" w:type="dxa"/>
            <w:noWrap w:val="0"/>
            <w:vAlign w:val="center"/>
          </w:tcPr>
          <w:p w14:paraId="1FF12B3A">
            <w:pPr>
              <w:adjustRightInd w:val="0"/>
              <w:snapToGrid w:val="0"/>
              <w:jc w:val="center"/>
              <w:rPr>
                <w:rFonts w:hint="eastAsia" w:ascii="仿宋" w:hAnsi="仿宋" w:eastAsia="仿宋" w:cs="仿宋"/>
                <w:szCs w:val="24"/>
              </w:rPr>
            </w:pPr>
          </w:p>
        </w:tc>
        <w:tc>
          <w:tcPr>
            <w:tcW w:w="1157" w:type="dxa"/>
            <w:noWrap w:val="0"/>
            <w:vAlign w:val="center"/>
          </w:tcPr>
          <w:p w14:paraId="222DDCAF">
            <w:pPr>
              <w:adjustRightInd w:val="0"/>
              <w:snapToGrid w:val="0"/>
              <w:jc w:val="center"/>
              <w:rPr>
                <w:rFonts w:hint="eastAsia" w:ascii="仿宋" w:hAnsi="仿宋" w:eastAsia="仿宋" w:cs="仿宋"/>
                <w:szCs w:val="24"/>
              </w:rPr>
            </w:pPr>
          </w:p>
        </w:tc>
        <w:tc>
          <w:tcPr>
            <w:tcW w:w="1555" w:type="dxa"/>
            <w:noWrap w:val="0"/>
            <w:vAlign w:val="center"/>
          </w:tcPr>
          <w:p w14:paraId="385F56C5">
            <w:pPr>
              <w:adjustRightInd w:val="0"/>
              <w:snapToGrid w:val="0"/>
              <w:jc w:val="center"/>
              <w:rPr>
                <w:rFonts w:hint="eastAsia" w:ascii="仿宋" w:hAnsi="仿宋" w:eastAsia="仿宋" w:cs="仿宋"/>
                <w:szCs w:val="24"/>
              </w:rPr>
            </w:pPr>
          </w:p>
        </w:tc>
      </w:tr>
      <w:tr w14:paraId="77757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496" w:type="dxa"/>
            <w:gridSpan w:val="8"/>
            <w:noWrap w:val="0"/>
            <w:vAlign w:val="center"/>
          </w:tcPr>
          <w:p w14:paraId="2D4E7E6E">
            <w:pPr>
              <w:adjustRightInd w:val="0"/>
              <w:snapToGrid w:val="0"/>
              <w:jc w:val="left"/>
              <w:rPr>
                <w:rFonts w:hint="eastAsia" w:ascii="仿宋" w:hAnsi="仿宋" w:eastAsia="仿宋" w:cs="仿宋"/>
                <w:szCs w:val="24"/>
              </w:rPr>
            </w:pPr>
            <w:r>
              <w:rPr>
                <w:rFonts w:hint="eastAsia" w:ascii="仿宋" w:hAnsi="仿宋" w:eastAsia="仿宋" w:cs="仿宋"/>
                <w:szCs w:val="24"/>
              </w:rPr>
              <w:t>合计金额：¥          元；     大写：</w:t>
            </w:r>
          </w:p>
        </w:tc>
      </w:tr>
    </w:tbl>
    <w:p w14:paraId="10EC6F92">
      <w:pPr>
        <w:adjustRightInd w:val="0"/>
        <w:snapToGrid w:val="0"/>
        <w:spacing w:line="560" w:lineRule="exact"/>
        <w:ind w:firstLine="415" w:firstLineChars="198"/>
        <w:rPr>
          <w:rFonts w:hint="eastAsia" w:ascii="仿宋" w:hAnsi="仿宋" w:eastAsia="仿宋" w:cs="仿宋"/>
          <w:szCs w:val="24"/>
        </w:rPr>
      </w:pPr>
      <w:r>
        <w:rPr>
          <w:rFonts w:hint="eastAsia" w:ascii="仿宋" w:hAnsi="仿宋" w:eastAsia="仿宋" w:cs="仿宋"/>
          <w:szCs w:val="24"/>
        </w:rPr>
        <w:t>注：此表应与</w:t>
      </w:r>
      <w:r>
        <w:rPr>
          <w:rFonts w:hint="eastAsia" w:ascii="仿宋" w:hAnsi="仿宋" w:eastAsia="仿宋" w:cs="仿宋"/>
          <w:szCs w:val="24"/>
          <w:lang w:eastAsia="zh-CN"/>
        </w:rPr>
        <w:t>招标文件</w:t>
      </w:r>
      <w:r>
        <w:rPr>
          <w:rFonts w:hint="eastAsia" w:ascii="仿宋" w:hAnsi="仿宋" w:eastAsia="仿宋" w:cs="仿宋"/>
          <w:szCs w:val="24"/>
        </w:rPr>
        <w:t>、</w:t>
      </w:r>
      <w:r>
        <w:rPr>
          <w:rFonts w:hint="eastAsia" w:ascii="仿宋" w:hAnsi="仿宋" w:eastAsia="仿宋" w:cs="仿宋"/>
          <w:szCs w:val="24"/>
          <w:lang w:eastAsia="zh-CN"/>
        </w:rPr>
        <w:t>投标文件</w:t>
      </w:r>
      <w:r>
        <w:rPr>
          <w:rFonts w:hint="eastAsia" w:ascii="仿宋" w:hAnsi="仿宋" w:eastAsia="仿宋" w:cs="仿宋"/>
          <w:szCs w:val="24"/>
        </w:rPr>
        <w:t>内容一致。</w:t>
      </w:r>
    </w:p>
    <w:p w14:paraId="75242490">
      <w:pPr>
        <w:spacing w:line="360" w:lineRule="auto"/>
        <w:rPr>
          <w:rFonts w:hint="eastAsia" w:ascii="仿宋" w:hAnsi="仿宋" w:eastAsia="仿宋" w:cs="仿宋"/>
          <w:b/>
          <w:szCs w:val="24"/>
        </w:rPr>
      </w:pPr>
      <w:r>
        <w:rPr>
          <w:rFonts w:hint="eastAsia" w:ascii="仿宋" w:hAnsi="仿宋" w:eastAsia="仿宋" w:cs="仿宋"/>
          <w:b/>
          <w:szCs w:val="24"/>
        </w:rPr>
        <w:t>四、结算方式：</w:t>
      </w:r>
    </w:p>
    <w:p w14:paraId="718620C6">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（1）结算方式：银行转账。</w:t>
      </w:r>
    </w:p>
    <w:p w14:paraId="7212882C">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（2）付款方式：</w:t>
      </w:r>
    </w:p>
    <w:p w14:paraId="206A87D2">
      <w:pPr>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lang w:eastAsia="zh-CN"/>
        </w:rPr>
        <w:t>采购包1：付款条件说明：项日建设完成验收合格后，在6个月内甲方支付 250 万元，不计利息。第2-5年甲方分四期支付剩余款项，每年支付剩余合同款的25%，按照中国人民银行公布的同期贷款市场报价利率(LPR)计息支付剩余款项利息。</w:t>
      </w:r>
    </w:p>
    <w:p w14:paraId="4812480C">
      <w:pPr>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lang w:eastAsia="zh-CN"/>
        </w:rPr>
        <w:t>利息计算：</w:t>
      </w:r>
    </w:p>
    <w:p w14:paraId="51A78BFD">
      <w:pPr>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lang w:eastAsia="zh-CN"/>
        </w:rPr>
        <w:t>未支付的分期款项按中国人民银行公布的同期贷款市场报价利率(LPR)计息;</w:t>
      </w:r>
    </w:p>
    <w:p w14:paraId="712F2132">
      <w:pPr>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lang w:eastAsia="zh-CN"/>
        </w:rPr>
        <w:t>利息计算方式为:利息=未支付本金*当期LPR利率*(计息天数/360);</w:t>
      </w:r>
    </w:p>
    <w:p w14:paraId="5E9391B9">
      <w:pPr>
        <w:spacing w:line="360" w:lineRule="auto"/>
        <w:ind w:firstLine="420" w:firstLineChars="200"/>
        <w:rPr>
          <w:rFonts w:hint="eastAsia" w:ascii="仿宋" w:hAnsi="仿宋" w:eastAsia="仿宋" w:cs="仿宋"/>
          <w:szCs w:val="24"/>
          <w:lang w:eastAsia="zh-CN"/>
        </w:rPr>
      </w:pPr>
      <w:r>
        <w:rPr>
          <w:rFonts w:hint="eastAsia" w:ascii="仿宋" w:hAnsi="仿宋" w:eastAsia="仿宋" w:cs="仿宋"/>
          <w:szCs w:val="24"/>
          <w:lang w:eastAsia="zh-CN"/>
        </w:rPr>
        <w:t>利率基准:以项目建设验收合格日为基准日，利息基准以每年基准日的1年期 LPR 为准利息与当期本金一并支付。</w:t>
      </w:r>
    </w:p>
    <w:p w14:paraId="7C2F0976">
      <w:pPr>
        <w:adjustRightInd w:val="0"/>
        <w:snapToGrid w:val="0"/>
        <w:spacing w:line="360" w:lineRule="auto"/>
        <w:rPr>
          <w:rFonts w:hint="eastAsia" w:ascii="仿宋" w:hAnsi="仿宋" w:eastAsia="仿宋" w:cs="仿宋"/>
          <w:b/>
          <w:szCs w:val="24"/>
        </w:rPr>
      </w:pPr>
      <w:r>
        <w:rPr>
          <w:rFonts w:hint="eastAsia" w:ascii="仿宋" w:hAnsi="仿宋" w:eastAsia="仿宋" w:cs="仿宋"/>
          <w:b/>
          <w:szCs w:val="24"/>
        </w:rPr>
        <w:t>五、交货地点及交货期</w:t>
      </w:r>
    </w:p>
    <w:p w14:paraId="355F0B1F">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1、交货地点：宝鸡文理学院指定地点</w:t>
      </w:r>
    </w:p>
    <w:p w14:paraId="7B32DAF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rPr>
        <w:t>2、交货期：2025年8月20日前项目交付，供应商应保证在要求时间内完成全部货物的供货、安装、调试和培训工作,符合国家标准、行业规范和合同等相关文件的要求。试用期30天后由供应商提出验收申请，采购人组织验收</w:t>
      </w:r>
      <w:r>
        <w:rPr>
          <w:rFonts w:hint="eastAsia" w:ascii="仿宋" w:hAnsi="仿宋" w:eastAsia="仿宋" w:cs="仿宋"/>
          <w:szCs w:val="24"/>
          <w:highlight w:val="none"/>
        </w:rPr>
        <w:t>。</w:t>
      </w:r>
    </w:p>
    <w:p w14:paraId="6D46951F">
      <w:pPr>
        <w:spacing w:line="360" w:lineRule="auto"/>
        <w:rPr>
          <w:rFonts w:hint="eastAsia" w:ascii="仿宋" w:hAnsi="仿宋" w:eastAsia="仿宋" w:cs="仿宋"/>
          <w:b/>
          <w:bCs/>
          <w:szCs w:val="24"/>
        </w:rPr>
      </w:pPr>
      <w:r>
        <w:rPr>
          <w:rFonts w:hint="eastAsia" w:ascii="仿宋" w:hAnsi="仿宋" w:eastAsia="仿宋" w:cs="仿宋"/>
          <w:b/>
          <w:bCs/>
          <w:szCs w:val="24"/>
        </w:rPr>
        <w:t>六、双方的权利和义务</w:t>
      </w:r>
    </w:p>
    <w:p w14:paraId="70E8EAED">
      <w:pPr>
        <w:adjustRightInd w:val="0"/>
        <w:snapToGrid w:val="0"/>
        <w:spacing w:before="156" w:beforeLines="50" w:line="360" w:lineRule="auto"/>
        <w:ind w:firstLine="420" w:firstLineChars="200"/>
        <w:rPr>
          <w:rFonts w:hint="eastAsia" w:ascii="仿宋" w:hAnsi="仿宋" w:eastAsia="仿宋" w:cs="仿宋"/>
          <w:szCs w:val="24"/>
        </w:rPr>
      </w:pPr>
      <w:r>
        <w:rPr>
          <w:rFonts w:hint="eastAsia" w:ascii="仿宋" w:hAnsi="仿宋" w:eastAsia="仿宋" w:cs="仿宋"/>
          <w:szCs w:val="24"/>
        </w:rPr>
        <w:t>（一）甲方的权利和义务</w:t>
      </w:r>
    </w:p>
    <w:p w14:paraId="71F6E272">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1.产品性能必须与其标示的技术指标相符合，甲方有权在产品的有效保证期内依据技术指标对该产品进行技术验收，其主要的技术参数达不到标准时，甲方有权无条件退货或依据有关法律索赔。</w:t>
      </w:r>
    </w:p>
    <w:p w14:paraId="5E979773">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2.提供热线及专属客户经理电话全年7*24小时的不间断服务。否则甲方有权指定第三方维修，维修费用由乙方承担。</w:t>
      </w:r>
    </w:p>
    <w:p w14:paraId="6E52393A">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3.质保期内，所投设备发生故障，乙方接到通知后，派出合格的维修人员到用户现场进行维修，维修全部费用由供应商承担，若需将产品送回生产厂，供货方还需承担往返费用。</w:t>
      </w:r>
    </w:p>
    <w:p w14:paraId="0676F227">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4.质保期内，设备出现故障在甲方及时通知乙方后，不能及时排除故障时间超过一个月,甲方有权向乙方提出退货。</w:t>
      </w:r>
    </w:p>
    <w:p w14:paraId="590FE6B9">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5.甲方保证按合同规定及时付款。</w:t>
      </w:r>
    </w:p>
    <w:p w14:paraId="24C1B8EE">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（二）乙方的权利和义务</w:t>
      </w:r>
    </w:p>
    <w:p w14:paraId="076790BE">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1.乙方提供给甲方的产品必须是设计科学、技术成熟、工艺精良，原厂生产的未曾使用过的、全新的合格产品。</w:t>
      </w:r>
    </w:p>
    <w:p w14:paraId="4D6199BD">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2.设计技术专利、外型专利、应用软件专利等均应符合我国的有关法律及行业标准，凡因以上问题与第三方发生的任何纠纷均与甲方无关。</w:t>
      </w:r>
    </w:p>
    <w:p w14:paraId="6EEC8DDB">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3.安全可靠。在正常使用下不应对操作者造成任何人身伤害，如因产品质量或标示不明确而对操作者造成损失的，甲方将保留依法索赔的权利。</w:t>
      </w:r>
    </w:p>
    <w:p w14:paraId="217051F4">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4.有强制性安全标准的产品，乙方应提供该产品的制造许可证证明。</w:t>
      </w:r>
    </w:p>
    <w:p w14:paraId="4180646E">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5.乙方有义务对本合同项目甲方需要的关键设备提供有关咨询。</w:t>
      </w:r>
    </w:p>
    <w:p w14:paraId="12C7D237">
      <w:pPr>
        <w:adjustRightInd w:val="0"/>
        <w:snapToGrid w:val="0"/>
        <w:spacing w:line="360" w:lineRule="auto"/>
        <w:rPr>
          <w:rFonts w:hint="eastAsia" w:ascii="仿宋" w:hAnsi="仿宋" w:eastAsia="仿宋" w:cs="仿宋"/>
          <w:b/>
          <w:szCs w:val="24"/>
        </w:rPr>
      </w:pPr>
      <w:r>
        <w:rPr>
          <w:rFonts w:hint="eastAsia" w:ascii="仿宋" w:hAnsi="仿宋" w:eastAsia="仿宋" w:cs="仿宋"/>
          <w:b/>
          <w:szCs w:val="24"/>
        </w:rPr>
        <w:t>七、内容及要求：</w:t>
      </w:r>
    </w:p>
    <w:p w14:paraId="7AB3C0FE">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即交付的产品、服务内容、数量与</w:t>
      </w:r>
      <w:r>
        <w:rPr>
          <w:rFonts w:hint="eastAsia" w:ascii="仿宋" w:hAnsi="仿宋" w:eastAsia="仿宋" w:cs="仿宋"/>
          <w:szCs w:val="24"/>
          <w:lang w:eastAsia="zh-CN"/>
        </w:rPr>
        <w:t>投标文件</w:t>
      </w:r>
      <w:r>
        <w:rPr>
          <w:rFonts w:hint="eastAsia" w:ascii="仿宋" w:hAnsi="仿宋" w:eastAsia="仿宋" w:cs="仿宋"/>
          <w:szCs w:val="24"/>
        </w:rPr>
        <w:t>、</w:t>
      </w:r>
      <w:r>
        <w:rPr>
          <w:rFonts w:hint="eastAsia" w:ascii="仿宋" w:hAnsi="仿宋" w:eastAsia="仿宋" w:cs="仿宋"/>
          <w:szCs w:val="24"/>
          <w:lang w:eastAsia="zh-CN"/>
        </w:rPr>
        <w:t>招标文件</w:t>
      </w:r>
      <w:r>
        <w:rPr>
          <w:rFonts w:hint="eastAsia" w:ascii="仿宋" w:hAnsi="仿宋" w:eastAsia="仿宋" w:cs="仿宋"/>
          <w:szCs w:val="24"/>
        </w:rPr>
        <w:t>等所指明的，或者与本合同所指明的产品、服务内容相一致。</w:t>
      </w:r>
    </w:p>
    <w:p w14:paraId="0639D1FA">
      <w:pPr>
        <w:jc w:val="center"/>
        <w:rPr>
          <w:rFonts w:hint="eastAsia" w:ascii="仿宋" w:hAnsi="仿宋" w:eastAsia="仿宋" w:cs="仿宋"/>
          <w:b/>
          <w:bCs/>
          <w:szCs w:val="24"/>
        </w:rPr>
      </w:pPr>
      <w:bookmarkStart w:id="7" w:name="_Toc18856"/>
      <w:bookmarkStart w:id="8" w:name="_Toc6161"/>
      <w:bookmarkStart w:id="9" w:name="_Toc13024"/>
      <w:r>
        <w:rPr>
          <w:rFonts w:hint="eastAsia" w:ascii="仿宋" w:hAnsi="仿宋" w:eastAsia="仿宋" w:cs="仿宋"/>
          <w:b/>
          <w:bCs/>
          <w:szCs w:val="24"/>
        </w:rPr>
        <w:t>供货内容一览表</w:t>
      </w:r>
      <w:bookmarkEnd w:id="7"/>
      <w:bookmarkEnd w:id="8"/>
      <w:bookmarkEnd w:id="9"/>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5C581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2ED6CA24">
            <w:pPr>
              <w:widowControl/>
              <w:spacing w:line="360" w:lineRule="auto"/>
              <w:jc w:val="center"/>
              <w:rPr>
                <w:rFonts w:hint="eastAsia" w:ascii="仿宋" w:hAnsi="仿宋" w:eastAsia="仿宋" w:cs="仿宋"/>
                <w:b/>
                <w:szCs w:val="24"/>
              </w:rPr>
            </w:pPr>
            <w:r>
              <w:rPr>
                <w:rFonts w:hint="eastAsia" w:ascii="仿宋" w:hAnsi="仿宋" w:eastAsia="仿宋" w:cs="仿宋"/>
                <w:b/>
                <w:szCs w:val="24"/>
              </w:rPr>
              <w:t>序号</w:t>
            </w:r>
          </w:p>
        </w:tc>
        <w:tc>
          <w:tcPr>
            <w:tcW w:w="960" w:type="dxa"/>
            <w:noWrap w:val="0"/>
            <w:vAlign w:val="center"/>
          </w:tcPr>
          <w:p w14:paraId="58750D44">
            <w:pPr>
              <w:widowControl/>
              <w:spacing w:line="360" w:lineRule="auto"/>
              <w:jc w:val="center"/>
              <w:rPr>
                <w:rFonts w:hint="eastAsia" w:ascii="仿宋" w:hAnsi="仿宋" w:eastAsia="仿宋" w:cs="仿宋"/>
                <w:b/>
                <w:szCs w:val="24"/>
              </w:rPr>
            </w:pPr>
            <w:r>
              <w:rPr>
                <w:rFonts w:hint="eastAsia" w:ascii="仿宋" w:hAnsi="仿宋" w:eastAsia="仿宋" w:cs="仿宋"/>
                <w:b/>
                <w:szCs w:val="24"/>
              </w:rPr>
              <w:t>名称</w:t>
            </w:r>
          </w:p>
        </w:tc>
        <w:tc>
          <w:tcPr>
            <w:tcW w:w="1485" w:type="dxa"/>
            <w:tcBorders>
              <w:right w:val="single" w:color="auto" w:sz="4" w:space="0"/>
            </w:tcBorders>
            <w:noWrap w:val="0"/>
            <w:vAlign w:val="center"/>
          </w:tcPr>
          <w:p w14:paraId="40A86ADA">
            <w:pPr>
              <w:widowControl/>
              <w:adjustRightInd w:val="0"/>
              <w:snapToGrid w:val="0"/>
              <w:jc w:val="center"/>
              <w:rPr>
                <w:rFonts w:hint="eastAsia" w:ascii="仿宋" w:hAnsi="仿宋" w:eastAsia="仿宋" w:cs="仿宋"/>
                <w:szCs w:val="24"/>
              </w:rPr>
            </w:pPr>
            <w:bookmarkStart w:id="10" w:name="_Toc27392"/>
            <w:bookmarkStart w:id="11" w:name="_Toc16506"/>
            <w:bookmarkStart w:id="12" w:name="_Toc30417"/>
            <w:bookmarkStart w:id="13" w:name="_Toc21512"/>
            <w:r>
              <w:rPr>
                <w:rFonts w:hint="eastAsia" w:ascii="仿宋" w:hAnsi="仿宋" w:eastAsia="仿宋" w:cs="仿宋"/>
                <w:szCs w:val="24"/>
              </w:rPr>
              <w:t>品牌、规格及型号</w:t>
            </w:r>
            <w:bookmarkEnd w:id="10"/>
            <w:bookmarkEnd w:id="11"/>
            <w:bookmarkEnd w:id="12"/>
            <w:bookmarkEnd w:id="13"/>
          </w:p>
        </w:tc>
        <w:tc>
          <w:tcPr>
            <w:tcW w:w="1695" w:type="dxa"/>
            <w:tcBorders>
              <w:left w:val="single" w:color="auto" w:sz="4" w:space="0"/>
            </w:tcBorders>
            <w:noWrap w:val="0"/>
            <w:vAlign w:val="center"/>
          </w:tcPr>
          <w:p w14:paraId="4BE15022">
            <w:pPr>
              <w:widowControl/>
              <w:adjustRightInd w:val="0"/>
              <w:snapToGrid w:val="0"/>
              <w:jc w:val="center"/>
              <w:rPr>
                <w:rFonts w:hint="eastAsia" w:ascii="仿宋" w:hAnsi="仿宋" w:eastAsia="仿宋" w:cs="仿宋"/>
                <w:szCs w:val="24"/>
              </w:rPr>
            </w:pPr>
            <w:bookmarkStart w:id="14" w:name="_Toc27421"/>
            <w:bookmarkStart w:id="15" w:name="_Toc8981"/>
            <w:bookmarkStart w:id="16" w:name="_Toc15345"/>
            <w:bookmarkStart w:id="17" w:name="_Toc109"/>
            <w:r>
              <w:rPr>
                <w:rFonts w:hint="eastAsia" w:ascii="仿宋" w:hAnsi="仿宋" w:eastAsia="仿宋" w:cs="仿宋"/>
                <w:szCs w:val="24"/>
              </w:rPr>
              <w:t>原产地及 制造厂名</w:t>
            </w:r>
            <w:bookmarkEnd w:id="14"/>
            <w:bookmarkEnd w:id="15"/>
            <w:bookmarkEnd w:id="16"/>
            <w:bookmarkEnd w:id="17"/>
          </w:p>
        </w:tc>
        <w:tc>
          <w:tcPr>
            <w:tcW w:w="825" w:type="dxa"/>
            <w:tcBorders>
              <w:right w:val="single" w:color="auto" w:sz="4" w:space="0"/>
            </w:tcBorders>
            <w:noWrap w:val="0"/>
            <w:vAlign w:val="center"/>
          </w:tcPr>
          <w:p w14:paraId="04A73B37">
            <w:pPr>
              <w:widowControl/>
              <w:adjustRightInd w:val="0"/>
              <w:snapToGrid w:val="0"/>
              <w:jc w:val="center"/>
              <w:rPr>
                <w:rFonts w:hint="eastAsia" w:ascii="仿宋" w:hAnsi="仿宋" w:eastAsia="仿宋" w:cs="仿宋"/>
                <w:szCs w:val="24"/>
              </w:rPr>
            </w:pPr>
            <w:bookmarkStart w:id="18" w:name="_Toc14127"/>
            <w:bookmarkStart w:id="19" w:name="_Toc10570"/>
            <w:bookmarkStart w:id="20" w:name="_Toc20611"/>
            <w:bookmarkStart w:id="21" w:name="_Toc14339"/>
            <w:r>
              <w:rPr>
                <w:rFonts w:hint="eastAsia" w:ascii="仿宋" w:hAnsi="仿宋" w:eastAsia="仿宋" w:cs="仿宋"/>
                <w:szCs w:val="24"/>
              </w:rPr>
              <w:t>单价</w:t>
            </w:r>
            <w:bookmarkEnd w:id="18"/>
            <w:bookmarkEnd w:id="19"/>
            <w:bookmarkEnd w:id="20"/>
            <w:bookmarkEnd w:id="21"/>
          </w:p>
        </w:tc>
        <w:tc>
          <w:tcPr>
            <w:tcW w:w="735" w:type="dxa"/>
            <w:tcBorders>
              <w:left w:val="single" w:color="auto" w:sz="4" w:space="0"/>
              <w:right w:val="single" w:color="auto" w:sz="4" w:space="0"/>
            </w:tcBorders>
            <w:noWrap w:val="0"/>
            <w:vAlign w:val="center"/>
          </w:tcPr>
          <w:p w14:paraId="58714F95">
            <w:pPr>
              <w:widowControl/>
              <w:adjustRightInd w:val="0"/>
              <w:snapToGrid w:val="0"/>
              <w:jc w:val="center"/>
              <w:rPr>
                <w:rFonts w:hint="eastAsia" w:ascii="仿宋" w:hAnsi="仿宋" w:eastAsia="仿宋" w:cs="仿宋"/>
                <w:szCs w:val="24"/>
              </w:rPr>
            </w:pPr>
            <w:bookmarkStart w:id="22" w:name="_Toc21991"/>
            <w:bookmarkStart w:id="23" w:name="_Toc15777"/>
            <w:bookmarkStart w:id="24" w:name="_Toc879"/>
            <w:bookmarkStart w:id="25" w:name="_Toc31109"/>
            <w:r>
              <w:rPr>
                <w:rFonts w:hint="eastAsia" w:ascii="仿宋" w:hAnsi="仿宋" w:eastAsia="仿宋" w:cs="仿宋"/>
                <w:szCs w:val="24"/>
              </w:rPr>
              <w:t>数量</w:t>
            </w:r>
            <w:bookmarkEnd w:id="22"/>
            <w:bookmarkEnd w:id="23"/>
            <w:bookmarkEnd w:id="24"/>
            <w:bookmarkEnd w:id="25"/>
          </w:p>
        </w:tc>
        <w:tc>
          <w:tcPr>
            <w:tcW w:w="1050" w:type="dxa"/>
            <w:tcBorders>
              <w:left w:val="single" w:color="auto" w:sz="4" w:space="0"/>
            </w:tcBorders>
            <w:noWrap w:val="0"/>
            <w:vAlign w:val="center"/>
          </w:tcPr>
          <w:p w14:paraId="7B2B67E3">
            <w:pPr>
              <w:widowControl/>
              <w:jc w:val="center"/>
              <w:rPr>
                <w:rFonts w:hint="eastAsia" w:ascii="仿宋" w:hAnsi="仿宋" w:eastAsia="仿宋" w:cs="仿宋"/>
                <w:szCs w:val="24"/>
              </w:rPr>
            </w:pPr>
            <w:bookmarkStart w:id="26" w:name="_Toc12748"/>
            <w:bookmarkStart w:id="27" w:name="_Toc28024"/>
            <w:bookmarkStart w:id="28" w:name="_Toc6689"/>
            <w:bookmarkStart w:id="29" w:name="_Toc23428"/>
            <w:r>
              <w:rPr>
                <w:rFonts w:hint="eastAsia" w:ascii="仿宋" w:hAnsi="仿宋" w:eastAsia="仿宋" w:cs="仿宋"/>
                <w:szCs w:val="24"/>
              </w:rPr>
              <w:t>交付地点</w:t>
            </w:r>
            <w:bookmarkEnd w:id="26"/>
            <w:bookmarkEnd w:id="27"/>
            <w:bookmarkEnd w:id="28"/>
            <w:bookmarkEnd w:id="29"/>
          </w:p>
        </w:tc>
        <w:tc>
          <w:tcPr>
            <w:tcW w:w="1215" w:type="dxa"/>
            <w:tcBorders>
              <w:right w:val="single" w:color="auto" w:sz="4" w:space="0"/>
            </w:tcBorders>
            <w:noWrap w:val="0"/>
            <w:vAlign w:val="center"/>
          </w:tcPr>
          <w:p w14:paraId="2FABD087">
            <w:pPr>
              <w:widowControl/>
              <w:jc w:val="center"/>
              <w:rPr>
                <w:rFonts w:hint="eastAsia" w:ascii="仿宋" w:hAnsi="仿宋" w:eastAsia="仿宋" w:cs="仿宋"/>
                <w:szCs w:val="24"/>
              </w:rPr>
            </w:pPr>
            <w:bookmarkStart w:id="30" w:name="_Toc916"/>
            <w:bookmarkStart w:id="31" w:name="_Toc2991"/>
            <w:bookmarkStart w:id="32" w:name="_Toc10344"/>
            <w:bookmarkStart w:id="33" w:name="_Toc21882"/>
            <w:r>
              <w:rPr>
                <w:rFonts w:hint="eastAsia" w:ascii="仿宋" w:hAnsi="仿宋" w:eastAsia="仿宋" w:cs="仿宋"/>
                <w:szCs w:val="24"/>
              </w:rPr>
              <w:t>交付时间</w:t>
            </w:r>
            <w:bookmarkEnd w:id="30"/>
            <w:bookmarkEnd w:id="31"/>
            <w:bookmarkEnd w:id="32"/>
            <w:bookmarkEnd w:id="33"/>
          </w:p>
        </w:tc>
        <w:tc>
          <w:tcPr>
            <w:tcW w:w="903" w:type="dxa"/>
            <w:tcBorders>
              <w:right w:val="single" w:color="auto" w:sz="4" w:space="0"/>
            </w:tcBorders>
            <w:noWrap w:val="0"/>
            <w:vAlign w:val="center"/>
          </w:tcPr>
          <w:p w14:paraId="21B4F080">
            <w:pPr>
              <w:widowControl/>
              <w:jc w:val="center"/>
              <w:rPr>
                <w:rFonts w:hint="eastAsia" w:ascii="仿宋" w:hAnsi="仿宋" w:eastAsia="仿宋" w:cs="仿宋"/>
                <w:szCs w:val="24"/>
              </w:rPr>
            </w:pPr>
            <w:bookmarkStart w:id="34" w:name="_Toc10193"/>
            <w:bookmarkStart w:id="35" w:name="_Toc17703"/>
            <w:bookmarkStart w:id="36" w:name="_Toc31273"/>
            <w:bookmarkStart w:id="37" w:name="_Toc18945"/>
            <w:r>
              <w:rPr>
                <w:rFonts w:hint="eastAsia" w:ascii="仿宋" w:hAnsi="仿宋" w:eastAsia="仿宋" w:cs="仿宋"/>
                <w:szCs w:val="24"/>
              </w:rPr>
              <w:t>备注</w:t>
            </w:r>
            <w:bookmarkEnd w:id="34"/>
            <w:bookmarkEnd w:id="35"/>
            <w:bookmarkEnd w:id="36"/>
            <w:bookmarkEnd w:id="37"/>
          </w:p>
        </w:tc>
      </w:tr>
      <w:tr w14:paraId="67742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4048EDE">
            <w:pPr>
              <w:spacing w:before="156" w:beforeLines="50" w:line="360" w:lineRule="auto"/>
              <w:jc w:val="center"/>
              <w:rPr>
                <w:rFonts w:hint="eastAsia" w:ascii="仿宋" w:hAnsi="仿宋" w:eastAsia="仿宋" w:cs="仿宋"/>
                <w:szCs w:val="24"/>
              </w:rPr>
            </w:pPr>
          </w:p>
        </w:tc>
        <w:tc>
          <w:tcPr>
            <w:tcW w:w="960" w:type="dxa"/>
            <w:noWrap w:val="0"/>
            <w:vAlign w:val="top"/>
          </w:tcPr>
          <w:p w14:paraId="5845F4E5">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319E7710">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1EF70989">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651EC7A0">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25367D00">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4DFF23F2">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6FCA7DD7">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30F84C48">
            <w:pPr>
              <w:spacing w:before="156" w:beforeLines="50" w:line="360" w:lineRule="auto"/>
              <w:jc w:val="center"/>
              <w:rPr>
                <w:rFonts w:hint="eastAsia" w:ascii="仿宋" w:hAnsi="仿宋" w:eastAsia="仿宋" w:cs="仿宋"/>
                <w:szCs w:val="24"/>
              </w:rPr>
            </w:pPr>
          </w:p>
        </w:tc>
      </w:tr>
      <w:tr w14:paraId="6440A4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24ABE24B">
            <w:pPr>
              <w:spacing w:before="156" w:beforeLines="50" w:line="360" w:lineRule="auto"/>
              <w:jc w:val="center"/>
              <w:rPr>
                <w:rFonts w:hint="eastAsia" w:ascii="仿宋" w:hAnsi="仿宋" w:eastAsia="仿宋" w:cs="仿宋"/>
                <w:szCs w:val="24"/>
              </w:rPr>
            </w:pPr>
          </w:p>
        </w:tc>
        <w:tc>
          <w:tcPr>
            <w:tcW w:w="960" w:type="dxa"/>
            <w:noWrap w:val="0"/>
            <w:vAlign w:val="top"/>
          </w:tcPr>
          <w:p w14:paraId="7152E5EE">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05D084C5">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6DC4B314">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60F33BE4">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57EED1DC">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600C01EC">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5D9F66A5">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752BE68A">
            <w:pPr>
              <w:spacing w:before="156" w:beforeLines="50" w:line="360" w:lineRule="auto"/>
              <w:jc w:val="center"/>
              <w:rPr>
                <w:rFonts w:hint="eastAsia" w:ascii="仿宋" w:hAnsi="仿宋" w:eastAsia="仿宋" w:cs="仿宋"/>
                <w:szCs w:val="24"/>
              </w:rPr>
            </w:pPr>
          </w:p>
        </w:tc>
      </w:tr>
      <w:tr w14:paraId="7F8D2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7476D3C">
            <w:pPr>
              <w:spacing w:before="156" w:beforeLines="50" w:line="360" w:lineRule="auto"/>
              <w:jc w:val="center"/>
              <w:rPr>
                <w:rFonts w:hint="eastAsia" w:ascii="仿宋" w:hAnsi="仿宋" w:eastAsia="仿宋" w:cs="仿宋"/>
                <w:szCs w:val="24"/>
              </w:rPr>
            </w:pPr>
          </w:p>
        </w:tc>
        <w:tc>
          <w:tcPr>
            <w:tcW w:w="960" w:type="dxa"/>
            <w:noWrap w:val="0"/>
            <w:vAlign w:val="top"/>
          </w:tcPr>
          <w:p w14:paraId="2CDBE327">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1206472E">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3B6873E6">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1EB721C2">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3DD6ACA5">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19B8292E">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039480D5">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34177727">
            <w:pPr>
              <w:spacing w:before="156" w:beforeLines="50" w:line="360" w:lineRule="auto"/>
              <w:jc w:val="center"/>
              <w:rPr>
                <w:rFonts w:hint="eastAsia" w:ascii="仿宋" w:hAnsi="仿宋" w:eastAsia="仿宋" w:cs="仿宋"/>
                <w:szCs w:val="24"/>
              </w:rPr>
            </w:pPr>
          </w:p>
        </w:tc>
      </w:tr>
      <w:tr w14:paraId="530C0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6968596F">
            <w:pPr>
              <w:spacing w:before="156" w:beforeLines="50" w:line="360" w:lineRule="auto"/>
              <w:jc w:val="center"/>
              <w:rPr>
                <w:rFonts w:hint="eastAsia" w:ascii="仿宋" w:hAnsi="仿宋" w:eastAsia="仿宋" w:cs="仿宋"/>
                <w:szCs w:val="24"/>
              </w:rPr>
            </w:pPr>
          </w:p>
        </w:tc>
        <w:tc>
          <w:tcPr>
            <w:tcW w:w="960" w:type="dxa"/>
            <w:noWrap w:val="0"/>
            <w:vAlign w:val="top"/>
          </w:tcPr>
          <w:p w14:paraId="153AD1F4">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14:paraId="5BAEB809">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14:paraId="49CDAC49">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14:paraId="75C040D6">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14:paraId="2487EC48">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14:paraId="289F6F0E">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14:paraId="22A1FFBB">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14:paraId="74E8D448">
            <w:pPr>
              <w:spacing w:before="156" w:beforeLines="50" w:line="360" w:lineRule="auto"/>
              <w:jc w:val="center"/>
              <w:rPr>
                <w:rFonts w:hint="eastAsia" w:ascii="仿宋" w:hAnsi="仿宋" w:eastAsia="仿宋" w:cs="仿宋"/>
                <w:szCs w:val="24"/>
              </w:rPr>
            </w:pPr>
          </w:p>
        </w:tc>
      </w:tr>
    </w:tbl>
    <w:p w14:paraId="03A17F14">
      <w:pPr>
        <w:spacing w:line="360" w:lineRule="auto"/>
        <w:rPr>
          <w:rFonts w:hint="eastAsia" w:ascii="仿宋" w:hAnsi="仿宋" w:eastAsia="仿宋" w:cs="仿宋"/>
          <w:b/>
          <w:szCs w:val="24"/>
        </w:rPr>
      </w:pPr>
      <w:r>
        <w:rPr>
          <w:rFonts w:hint="eastAsia" w:ascii="仿宋" w:hAnsi="仿宋" w:eastAsia="仿宋" w:cs="仿宋"/>
          <w:b/>
          <w:szCs w:val="24"/>
        </w:rPr>
        <w:t>八、包装要求</w:t>
      </w:r>
    </w:p>
    <w:p w14:paraId="6CCD20A2">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1、除合同另有规定外，供应商提供的全部货物，均应按标准保护措施进行包装，并确保货物安全送达至采购人指定地点。因包装不良造成的损失和由此产生的费用均由供应商自行承担。</w:t>
      </w:r>
    </w:p>
    <w:p w14:paraId="5B1A4B0A">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2、每一个包装箱内应附一份详细装箱清单和质量合格证。</w:t>
      </w:r>
    </w:p>
    <w:p w14:paraId="75B0F62F">
      <w:pPr>
        <w:spacing w:line="360" w:lineRule="auto"/>
        <w:rPr>
          <w:rFonts w:hint="eastAsia" w:ascii="仿宋" w:hAnsi="仿宋" w:eastAsia="仿宋" w:cs="仿宋"/>
          <w:b/>
          <w:szCs w:val="24"/>
        </w:rPr>
      </w:pPr>
      <w:r>
        <w:rPr>
          <w:rFonts w:hint="eastAsia" w:ascii="仿宋" w:hAnsi="仿宋" w:eastAsia="仿宋" w:cs="仿宋"/>
          <w:b/>
          <w:szCs w:val="24"/>
        </w:rPr>
        <w:t>九、运输、安装、调试要求：</w:t>
      </w:r>
    </w:p>
    <w:p w14:paraId="21785D8C">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1、供应商根据产品特性，自行选择运输及包装方式，承担一切运输费用，包括从生产厂到采购人指定交货地点所需的装卸、运输（含保险费）及其他一切费用；货物风险自采购人收到货物且书面验收合格后转移至采购人。</w:t>
      </w:r>
    </w:p>
    <w:p w14:paraId="2F917D21">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2、由供应商负责派技术人员到现场进行安装、调试至验收合格。供应商应在合同签订后一周内，向采购人提供安装、调试及试运行的进度计划表。</w:t>
      </w:r>
    </w:p>
    <w:p w14:paraId="4CB96FBA">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3、供应商应在合同规定的安装调试期内完成该项工作,如因供应商责任而造成延期，每超过一天按合同总价款的（1‰）支付采购人误期赔偿金，直至交货或提供服务结束为止，所有因延期而产生的费用由供应商自行承担。</w:t>
      </w:r>
    </w:p>
    <w:p w14:paraId="4CCE2859">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4、安装和调试期间所发生的费用均由供应商负责。</w:t>
      </w:r>
    </w:p>
    <w:p w14:paraId="2C2C504A">
      <w:pPr>
        <w:tabs>
          <w:tab w:val="left" w:pos="84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5、供应商应对安装调试、整改等实施过程的安全负责，如发生人身伤亡、财产损失的由供应商负责解决并承担全部责任。</w:t>
      </w:r>
    </w:p>
    <w:p w14:paraId="0E733803">
      <w:pPr>
        <w:spacing w:line="360" w:lineRule="auto"/>
        <w:rPr>
          <w:rFonts w:hint="eastAsia" w:ascii="仿宋" w:hAnsi="仿宋" w:eastAsia="仿宋" w:cs="仿宋"/>
          <w:b/>
          <w:szCs w:val="24"/>
        </w:rPr>
      </w:pPr>
      <w:r>
        <w:rPr>
          <w:rFonts w:hint="eastAsia" w:ascii="仿宋" w:hAnsi="仿宋" w:eastAsia="仿宋" w:cs="仿宋"/>
          <w:b/>
          <w:szCs w:val="24"/>
        </w:rPr>
        <w:t>十、技术支持：</w:t>
      </w:r>
    </w:p>
    <w:p w14:paraId="046B2EBE">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提供全年7×24小时的技术咨询服务,供应商怠于或无法提供技术支持的，采购人有权委托第三方处理，由此产生的费用和后果由供应商负责，费用直接从应付款中扣除。</w:t>
      </w:r>
    </w:p>
    <w:p w14:paraId="49D0840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供应商在项目实施过程中，质量保障人员、资源不足或者执力不足，给项目质量带来的风险超出采购人认定的允许范围时，采购人可终止本项目的合作并进行索赔。</w:t>
      </w:r>
    </w:p>
    <w:p w14:paraId="63B5986A">
      <w:pPr>
        <w:spacing w:line="360" w:lineRule="auto"/>
        <w:rPr>
          <w:rFonts w:hint="eastAsia" w:ascii="仿宋" w:hAnsi="仿宋" w:eastAsia="仿宋" w:cs="仿宋"/>
          <w:b/>
          <w:szCs w:val="24"/>
        </w:rPr>
      </w:pPr>
      <w:r>
        <w:rPr>
          <w:rFonts w:hint="eastAsia" w:ascii="仿宋" w:hAnsi="仿宋" w:eastAsia="仿宋" w:cs="仿宋"/>
          <w:b/>
          <w:szCs w:val="24"/>
        </w:rPr>
        <w:t>十一、技术培训：</w:t>
      </w:r>
    </w:p>
    <w:p w14:paraId="0C269F9A">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培训内容包括设备性能、特点、使用和操作方法，以及注意事项、维护等；要求在现场进行培训，最终确保用户人员完全掌握设备的使用和操作方法，掌握设备使用注意事项和保养维护常识，能判断常见问题发生的原因和解决方法；系统建成并正常运行后，应为用户提供完整的使用和维护手册。培训整个过程应免费，使用方不承担乙方培训人员的食宿费用，培训达到预期目标后双方签字确认。或者由投标方制定详细的培训计划，达到使用方的要求。</w:t>
      </w:r>
    </w:p>
    <w:p w14:paraId="1D1CEFA4">
      <w:pPr>
        <w:spacing w:line="360" w:lineRule="auto"/>
        <w:rPr>
          <w:rFonts w:hint="eastAsia" w:ascii="仿宋" w:hAnsi="仿宋" w:eastAsia="仿宋" w:cs="仿宋"/>
          <w:b/>
          <w:szCs w:val="24"/>
        </w:rPr>
      </w:pPr>
      <w:r>
        <w:rPr>
          <w:rFonts w:hint="eastAsia" w:ascii="仿宋" w:hAnsi="仿宋" w:eastAsia="仿宋" w:cs="仿宋"/>
          <w:b/>
          <w:szCs w:val="24"/>
        </w:rPr>
        <w:t>十二、技术资料要求：</w:t>
      </w:r>
    </w:p>
    <w:p w14:paraId="3A609D1D">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供应商应向采购人提供全套中文技术资料一套，包含但不限于以下内容：</w:t>
      </w:r>
    </w:p>
    <w:p w14:paraId="7F9AB9AA">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1、完整的产品操作使用手册、说明书和维护、修理技术文件、图纸、保修卡等；</w:t>
      </w:r>
    </w:p>
    <w:p w14:paraId="7A0F75B7">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2、制造厂的检验、测试报告、产品检验合格证书，质量保证书等文件验收时需提供；</w:t>
      </w:r>
    </w:p>
    <w:p w14:paraId="06ACCD24">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3、必须的其它技术资料；</w:t>
      </w:r>
    </w:p>
    <w:p w14:paraId="2F9BD33E">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4、产品验收标准；</w:t>
      </w:r>
    </w:p>
    <w:p w14:paraId="065AB6DB">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5、技术说明书；</w:t>
      </w:r>
    </w:p>
    <w:p w14:paraId="2D97E289">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6、零部件目录；</w:t>
      </w:r>
    </w:p>
    <w:p w14:paraId="3739E01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7、项目完工后提供验收报告；</w:t>
      </w:r>
    </w:p>
    <w:p w14:paraId="5C025F7E">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8、合同中要求的其他文件资料。</w:t>
      </w:r>
    </w:p>
    <w:p w14:paraId="2D6A0F9C">
      <w:pPr>
        <w:pStyle w:val="5"/>
        <w:spacing w:line="360" w:lineRule="auto"/>
        <w:rPr>
          <w:rFonts w:hint="eastAsia" w:ascii="仿宋" w:hAnsi="仿宋" w:eastAsia="仿宋" w:cs="仿宋"/>
          <w:bCs/>
          <w:sz w:val="24"/>
          <w:szCs w:val="24"/>
        </w:rPr>
      </w:pPr>
      <w:r>
        <w:rPr>
          <w:rFonts w:hint="eastAsia" w:ascii="仿宋" w:hAnsi="仿宋" w:eastAsia="仿宋" w:cs="仿宋"/>
          <w:b/>
          <w:sz w:val="24"/>
          <w:szCs w:val="24"/>
        </w:rPr>
        <w:t>十三、质保及维保服务（提供售后服务承诺书）：</w:t>
      </w:r>
    </w:p>
    <w:p w14:paraId="23F6B1F7">
      <w:pPr>
        <w:adjustRightInd w:val="0"/>
        <w:snapToGrid w:val="0"/>
        <w:spacing w:line="360" w:lineRule="auto"/>
        <w:ind w:firstLine="420" w:firstLineChars="200"/>
        <w:rPr>
          <w:rFonts w:hint="eastAsia" w:ascii="仿宋" w:hAnsi="仿宋" w:eastAsia="仿宋" w:cs="仿宋"/>
          <w:bCs/>
          <w:szCs w:val="24"/>
          <w:lang w:eastAsia="zh-CN"/>
        </w:rPr>
      </w:pPr>
      <w:r>
        <w:rPr>
          <w:rFonts w:hint="eastAsia" w:ascii="仿宋" w:hAnsi="仿宋" w:eastAsia="仿宋" w:cs="仿宋"/>
          <w:bCs/>
          <w:szCs w:val="24"/>
        </w:rPr>
        <w:t>1、软件产品与系统对接等提供不低于五年质保与服务；所有硬件产品、桌椅、装饰装修、系统实施等均需提供不低于三年质保与服务</w:t>
      </w:r>
      <w:r>
        <w:rPr>
          <w:rFonts w:hint="eastAsia" w:ascii="仿宋" w:hAnsi="仿宋" w:eastAsia="仿宋" w:cs="仿宋"/>
          <w:bCs/>
          <w:szCs w:val="24"/>
          <w:lang w:eastAsia="zh-CN"/>
        </w:rPr>
        <w:t>。</w:t>
      </w:r>
    </w:p>
    <w:p w14:paraId="7CCFE65B">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2、供应商提供的产品及材料必须保证质量可靠，为市场最新产品，进货渠道正常，配置合理齐全，应全面满足</w:t>
      </w:r>
      <w:r>
        <w:rPr>
          <w:rFonts w:hint="eastAsia" w:ascii="仿宋" w:hAnsi="仿宋" w:eastAsia="仿宋" w:cs="仿宋"/>
          <w:szCs w:val="24"/>
          <w:lang w:eastAsia="zh-CN"/>
        </w:rPr>
        <w:t>招标文件</w:t>
      </w:r>
      <w:r>
        <w:rPr>
          <w:rFonts w:hint="eastAsia" w:ascii="仿宋" w:hAnsi="仿宋" w:eastAsia="仿宋" w:cs="仿宋"/>
          <w:szCs w:val="24"/>
        </w:rPr>
        <w:t>的要求。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14:paraId="2A240D3E">
      <w:pPr>
        <w:tabs>
          <w:tab w:val="left" w:pos="108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3、供应商应提供可承担维修职能的公司或全资分公司或办事处，质保期内产生所有维护、维修费用由</w:t>
      </w:r>
      <w:r>
        <w:rPr>
          <w:rFonts w:hint="eastAsia" w:ascii="仿宋" w:hAnsi="仿宋" w:eastAsia="仿宋" w:cs="仿宋"/>
          <w:szCs w:val="24"/>
          <w:lang w:val="en-US" w:eastAsia="zh-CN"/>
        </w:rPr>
        <w:t>供应商</w:t>
      </w:r>
      <w:r>
        <w:rPr>
          <w:rFonts w:hint="eastAsia" w:ascii="仿宋" w:hAnsi="仿宋" w:eastAsia="仿宋" w:cs="仿宋"/>
          <w:szCs w:val="24"/>
        </w:rPr>
        <w:t>承担；同时提供两名运维技术人员驻场服务，服务期为项目交付后一年；本项目属于交钥匙工程，不在追加额外费用。</w:t>
      </w:r>
    </w:p>
    <w:p w14:paraId="701D4AC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4、服务方式：现场服务，产品按照国家三包规定执行，提供终身技术支持。在质保期内，如果发生故障，供应商要调查故障原因，由供应商提供的产品出现的问题，供应商须免费修复直至满足最终验收指标和性能。</w:t>
      </w:r>
    </w:p>
    <w:p w14:paraId="1E4BF164">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质保期内：对用户的维护维修要求服务响应时间不超过2小时，8小时内工程师到位，对问题较大超过24小时无法解决的，为不影响甲方正常工作，乙方在2日内免费提供替代产品，确保正常运行。但不可抗力因素（自然及环境因素）除外。在系统投入运行后，持续保证现场技术服务，在系统发生事故时，应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w:t>
      </w:r>
    </w:p>
    <w:p w14:paraId="2FD8799A">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质保期外：设备发生故障，乙方维修工程师要在2小时内给予答复，72小时内到达用户所在地进行维修，仅收取基本材料费。用户需要对系统进行扩展或增加时，应以最优惠的价格提供。</w:t>
      </w:r>
    </w:p>
    <w:p w14:paraId="77C3AC39">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5、每年至少二次免费上门维护，回访。</w:t>
      </w:r>
    </w:p>
    <w:p w14:paraId="360391AF">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6、软件系统要求随硬件设备的部件更换或设备更新而免费升级，以保证正常使用与安全操作为原则。</w:t>
      </w:r>
    </w:p>
    <w:p w14:paraId="71DCD909">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7、对于存在质量问题或者短少的产品，供应商应在接到采购人的通知2个日历日内负责修复，调换、重新制作或补齐。</w:t>
      </w:r>
    </w:p>
    <w:p w14:paraId="4B79D81E">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8、在最终验收后的质量保证期内，供应商应对设计、工艺或材料等的缺陷而产生的故障负责（负责解决并承担全部费用）。</w:t>
      </w:r>
    </w:p>
    <w:p w14:paraId="1F033839">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9、供应商及所投产品的制造厂商应承诺质保期、维保期的售后服务条款（包括具体的服务内容、故障响应时间、响应方式、维修措施及时限、维护响应计划等方面）。</w:t>
      </w:r>
    </w:p>
    <w:p w14:paraId="5C80F5C4">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10、对于未按约定提供质保服务的供应商或违约的供应商，采购人有权追究其违约责任并拒绝其参加采购人单位的政府采购项目。且采购人有权委托第三方进行维修，所产生的费用由供应商承担。</w:t>
      </w:r>
    </w:p>
    <w:p w14:paraId="5BE455FA">
      <w:pPr>
        <w:spacing w:line="360" w:lineRule="auto"/>
        <w:rPr>
          <w:rFonts w:hint="eastAsia" w:ascii="仿宋" w:hAnsi="仿宋" w:eastAsia="仿宋" w:cs="仿宋"/>
          <w:szCs w:val="24"/>
        </w:rPr>
      </w:pPr>
      <w:r>
        <w:rPr>
          <w:rFonts w:hint="eastAsia" w:ascii="仿宋" w:hAnsi="仿宋" w:eastAsia="仿宋" w:cs="仿宋"/>
          <w:b/>
          <w:szCs w:val="24"/>
        </w:rPr>
        <w:t>十四、验收：</w:t>
      </w:r>
    </w:p>
    <w:p w14:paraId="16AD3779">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75FC3A95">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1、所验产品的指标、性能参数通过验收达不到</w:t>
      </w:r>
      <w:r>
        <w:rPr>
          <w:rFonts w:hint="eastAsia" w:ascii="仿宋" w:hAnsi="仿宋" w:eastAsia="仿宋" w:cs="仿宋"/>
          <w:szCs w:val="24"/>
          <w:lang w:eastAsia="zh-CN"/>
        </w:rPr>
        <w:t>招标文件</w:t>
      </w:r>
      <w:r>
        <w:rPr>
          <w:rFonts w:hint="eastAsia" w:ascii="仿宋" w:hAnsi="仿宋" w:eastAsia="仿宋" w:cs="仿宋"/>
          <w:szCs w:val="24"/>
        </w:rPr>
        <w:t>要求和</w:t>
      </w:r>
      <w:r>
        <w:rPr>
          <w:rFonts w:hint="eastAsia" w:ascii="仿宋" w:hAnsi="仿宋" w:eastAsia="仿宋" w:cs="仿宋"/>
          <w:szCs w:val="24"/>
          <w:lang w:eastAsia="zh-CN"/>
        </w:rPr>
        <w:t>投标文件</w:t>
      </w:r>
      <w:r>
        <w:rPr>
          <w:rFonts w:hint="eastAsia" w:ascii="仿宋" w:hAnsi="仿宋" w:eastAsia="仿宋" w:cs="仿宋"/>
          <w:szCs w:val="24"/>
        </w:rPr>
        <w:t>承诺的，或在使用中发现设计缺陷等，将视为产品验收不合格，供应商应无条件免费更换或退货。</w:t>
      </w:r>
    </w:p>
    <w:p w14:paraId="428D450D">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2、若发现供应商有弄虚作假的，在</w:t>
      </w:r>
      <w:r>
        <w:rPr>
          <w:rFonts w:hint="eastAsia" w:ascii="仿宋" w:hAnsi="仿宋" w:eastAsia="仿宋" w:cs="仿宋"/>
          <w:szCs w:val="24"/>
          <w:lang w:val="en-US" w:eastAsia="zh-CN"/>
        </w:rPr>
        <w:t>招标</w:t>
      </w:r>
      <w:r>
        <w:rPr>
          <w:rFonts w:hint="eastAsia" w:ascii="仿宋" w:hAnsi="仿宋" w:eastAsia="仿宋" w:cs="仿宋"/>
          <w:szCs w:val="24"/>
        </w:rPr>
        <w:t>阶段故意或随意夸大产品技术性能，供应商应无条件退货，并赔偿采购人相应的损失。</w:t>
      </w:r>
    </w:p>
    <w:p w14:paraId="212E67CD">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3、验收标准：按</w:t>
      </w:r>
      <w:r>
        <w:rPr>
          <w:rFonts w:hint="eastAsia" w:ascii="仿宋" w:hAnsi="仿宋" w:eastAsia="仿宋" w:cs="仿宋"/>
          <w:szCs w:val="24"/>
          <w:lang w:eastAsia="zh-CN"/>
        </w:rPr>
        <w:t>招标文件</w:t>
      </w:r>
      <w:r>
        <w:rPr>
          <w:rFonts w:hint="eastAsia" w:ascii="仿宋" w:hAnsi="仿宋" w:eastAsia="仿宋" w:cs="仿宋"/>
          <w:szCs w:val="24"/>
        </w:rPr>
        <w:t>、</w:t>
      </w:r>
      <w:r>
        <w:rPr>
          <w:rFonts w:hint="eastAsia" w:ascii="仿宋" w:hAnsi="仿宋" w:eastAsia="仿宋" w:cs="仿宋"/>
          <w:szCs w:val="24"/>
          <w:lang w:eastAsia="zh-CN"/>
        </w:rPr>
        <w:t>投标文件</w:t>
      </w:r>
      <w:r>
        <w:rPr>
          <w:rFonts w:hint="eastAsia" w:ascii="仿宋" w:hAnsi="仿宋" w:eastAsia="仿宋" w:cs="仿宋"/>
          <w:szCs w:val="24"/>
        </w:rPr>
        <w:t>及澄清函等技术指标进行验收。各项指标均应符合验收标准及要求。</w:t>
      </w:r>
    </w:p>
    <w:p w14:paraId="66B22E26">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4、验收合格后，填写验收单，双方签字盖章后生效。</w:t>
      </w:r>
    </w:p>
    <w:p w14:paraId="39707907">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5、验收依据：</w:t>
      </w:r>
    </w:p>
    <w:p w14:paraId="1EFE6DD9">
      <w:pPr>
        <w:tabs>
          <w:tab w:val="left" w:pos="498"/>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1）合同文本；</w:t>
      </w:r>
    </w:p>
    <w:p w14:paraId="3BA075AF">
      <w:pPr>
        <w:tabs>
          <w:tab w:val="left" w:pos="498"/>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lang w:eastAsia="zh-CN"/>
        </w:rPr>
        <w:t>投标文件</w:t>
      </w:r>
      <w:r>
        <w:rPr>
          <w:rFonts w:hint="eastAsia" w:ascii="仿宋" w:hAnsi="仿宋" w:eastAsia="仿宋" w:cs="仿宋"/>
          <w:szCs w:val="24"/>
        </w:rPr>
        <w:t>及澄清函、</w:t>
      </w:r>
      <w:r>
        <w:rPr>
          <w:rFonts w:hint="eastAsia" w:ascii="仿宋" w:hAnsi="仿宋" w:eastAsia="仿宋" w:cs="仿宋"/>
          <w:szCs w:val="24"/>
          <w:lang w:eastAsia="zh-CN"/>
        </w:rPr>
        <w:t>招标文件</w:t>
      </w:r>
      <w:r>
        <w:rPr>
          <w:rFonts w:hint="eastAsia" w:ascii="仿宋" w:hAnsi="仿宋" w:eastAsia="仿宋" w:cs="仿宋"/>
          <w:szCs w:val="24"/>
        </w:rPr>
        <w:t>；</w:t>
      </w:r>
    </w:p>
    <w:p w14:paraId="368188F8">
      <w:pPr>
        <w:tabs>
          <w:tab w:val="left" w:pos="498"/>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3）国家和行业制定的相应的标准和规范；</w:t>
      </w:r>
    </w:p>
    <w:p w14:paraId="27A8CD9C">
      <w:pPr>
        <w:tabs>
          <w:tab w:val="left" w:pos="498"/>
        </w:tabs>
        <w:spacing w:line="360" w:lineRule="auto"/>
        <w:ind w:firstLine="420" w:firstLineChars="200"/>
        <w:jc w:val="left"/>
        <w:rPr>
          <w:rFonts w:hint="eastAsia" w:ascii="仿宋" w:hAnsi="仿宋" w:eastAsia="仿宋" w:cs="仿宋"/>
          <w:szCs w:val="24"/>
        </w:rPr>
      </w:pPr>
      <w:r>
        <w:rPr>
          <w:rFonts w:hint="eastAsia" w:ascii="仿宋" w:hAnsi="仿宋" w:eastAsia="仿宋" w:cs="仿宋"/>
          <w:szCs w:val="24"/>
        </w:rPr>
        <w:t>4)产品验收清单（注明各部件的品名、数量、规格型号和原产地或生产厂家）。</w:t>
      </w:r>
    </w:p>
    <w:p w14:paraId="6216A1D8">
      <w:pPr>
        <w:spacing w:line="360" w:lineRule="auto"/>
        <w:ind w:firstLine="422" w:firstLineChars="200"/>
        <w:rPr>
          <w:rFonts w:hint="eastAsia" w:ascii="仿宋" w:hAnsi="仿宋" w:eastAsia="仿宋" w:cs="仿宋"/>
          <w:b/>
          <w:szCs w:val="24"/>
        </w:rPr>
      </w:pPr>
      <w:r>
        <w:rPr>
          <w:rFonts w:hint="eastAsia" w:ascii="仿宋" w:hAnsi="仿宋" w:eastAsia="仿宋" w:cs="仿宋"/>
          <w:b/>
          <w:szCs w:val="24"/>
        </w:rPr>
        <w:t>十五、保密</w:t>
      </w:r>
    </w:p>
    <w:p w14:paraId="334E9AA8">
      <w:pPr>
        <w:tabs>
          <w:tab w:val="left" w:pos="1080"/>
        </w:tabs>
        <w:spacing w:line="360" w:lineRule="auto"/>
        <w:ind w:firstLine="420" w:firstLineChars="200"/>
        <w:rPr>
          <w:rFonts w:hint="eastAsia" w:ascii="仿宋" w:hAnsi="仿宋" w:eastAsia="仿宋" w:cs="仿宋"/>
          <w:szCs w:val="24"/>
        </w:rPr>
      </w:pPr>
      <w:r>
        <w:rPr>
          <w:rFonts w:hint="eastAsia" w:ascii="仿宋" w:hAnsi="仿宋" w:eastAsia="仿宋" w:cs="仿宋"/>
          <w:szCs w:val="24"/>
        </w:rPr>
        <w:t>须严格保密，对工作中了解到的采购人的技术、机密等进行保密，不得向他人泄漏。本合同的解除或终止不免除供应商应承担的保密义务。</w:t>
      </w:r>
    </w:p>
    <w:p w14:paraId="364E45C1">
      <w:pPr>
        <w:spacing w:line="360" w:lineRule="auto"/>
        <w:ind w:firstLine="422" w:firstLineChars="200"/>
        <w:rPr>
          <w:rFonts w:hint="eastAsia" w:ascii="仿宋" w:hAnsi="仿宋" w:eastAsia="仿宋" w:cs="仿宋"/>
          <w:b/>
          <w:szCs w:val="24"/>
        </w:rPr>
      </w:pPr>
      <w:r>
        <w:rPr>
          <w:rFonts w:hint="eastAsia" w:ascii="仿宋" w:hAnsi="仿宋" w:eastAsia="仿宋" w:cs="仿宋"/>
          <w:b/>
          <w:szCs w:val="24"/>
        </w:rPr>
        <w:t>十六、知识产权</w:t>
      </w:r>
    </w:p>
    <w:p w14:paraId="34E968B0">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供应商应对所供产品具有或已取得合法知识产权，未经甲方书面许可，乙方不得用于本项目以外的其他用途，另外供应商应保证所供产品及服务不会出现因第三方提出侵犯其专利权、商标权或其它知识产权而引发法律或经济纠纷，否则由供应商负责解决并承担全部责任，包括因乙方原因造成甲方知识产权遭受的经济损失；如因此影响到采购人的正常使用，采购人有权单方解除本合同，供应商应无条件向采购人退回已收取的全部合同价款。</w:t>
      </w:r>
    </w:p>
    <w:p w14:paraId="66A3018D">
      <w:pPr>
        <w:spacing w:line="360" w:lineRule="auto"/>
        <w:ind w:firstLine="422" w:firstLineChars="200"/>
        <w:rPr>
          <w:rFonts w:hint="eastAsia" w:ascii="仿宋" w:hAnsi="仿宋" w:eastAsia="仿宋" w:cs="仿宋"/>
          <w:szCs w:val="24"/>
        </w:rPr>
      </w:pPr>
      <w:r>
        <w:rPr>
          <w:rFonts w:hint="eastAsia" w:ascii="仿宋" w:hAnsi="仿宋" w:eastAsia="仿宋" w:cs="仿宋"/>
          <w:b/>
          <w:szCs w:val="24"/>
        </w:rPr>
        <w:t>十七、合同争议的解决：</w:t>
      </w:r>
      <w:r>
        <w:rPr>
          <w:rFonts w:hint="eastAsia" w:ascii="仿宋" w:hAnsi="仿宋" w:eastAsia="仿宋" w:cs="仿宋"/>
          <w:szCs w:val="24"/>
        </w:rPr>
        <w:t>合同执行中发生争议的，当事人双方应协商解决，协商达不成一致时，双方均可向采购人所在地人民法院提请诉讼。</w:t>
      </w:r>
    </w:p>
    <w:p w14:paraId="1C4B7DBC">
      <w:pPr>
        <w:spacing w:line="360" w:lineRule="auto"/>
        <w:ind w:firstLine="422" w:firstLineChars="200"/>
        <w:rPr>
          <w:rFonts w:hint="eastAsia" w:ascii="仿宋" w:hAnsi="仿宋" w:eastAsia="仿宋" w:cs="仿宋"/>
          <w:szCs w:val="24"/>
        </w:rPr>
      </w:pPr>
      <w:r>
        <w:rPr>
          <w:rFonts w:hint="eastAsia" w:ascii="仿宋" w:hAnsi="仿宋" w:eastAsia="仿宋" w:cs="仿宋"/>
          <w:b/>
          <w:szCs w:val="24"/>
        </w:rPr>
        <w:t>十八、</w:t>
      </w:r>
      <w:r>
        <w:rPr>
          <w:rFonts w:hint="eastAsia" w:ascii="仿宋" w:hAnsi="仿宋" w:eastAsia="仿宋" w:cs="仿宋"/>
          <w:szCs w:val="24"/>
        </w:rPr>
        <w:t>不可抗力情况下的免责约定，双方约定不可抗力情况包括：自然灾害、重大疫情、恶劣天气条件、政府行为、社会异常事件（包括罢工、政变、骚乱、游行等）等不能预见、不能避免并不能克服的客观情况。</w:t>
      </w:r>
    </w:p>
    <w:p w14:paraId="6D6EDEE5">
      <w:pPr>
        <w:spacing w:line="360" w:lineRule="auto"/>
        <w:ind w:firstLine="422" w:firstLineChars="200"/>
        <w:rPr>
          <w:rFonts w:hint="eastAsia" w:ascii="仿宋" w:hAnsi="仿宋" w:eastAsia="仿宋" w:cs="仿宋"/>
          <w:szCs w:val="24"/>
        </w:rPr>
      </w:pPr>
      <w:r>
        <w:rPr>
          <w:rFonts w:hint="eastAsia" w:ascii="仿宋" w:hAnsi="仿宋" w:eastAsia="仿宋" w:cs="仿宋"/>
          <w:b/>
          <w:szCs w:val="24"/>
        </w:rPr>
        <w:t>十九、违约责任：</w:t>
      </w:r>
      <w:r>
        <w:rPr>
          <w:rFonts w:hint="eastAsia" w:ascii="仿宋" w:hAnsi="仿宋" w:eastAsia="仿宋" w:cs="仿宋"/>
          <w:b w:val="0"/>
          <w:bCs/>
          <w:szCs w:val="24"/>
        </w:rPr>
        <w:t>按合同约定。①未能按照要求在规定时间内完成全部货物的供货、安装、调试及培训工作，按照每天1‰进行处罚。②合同一经签订，不得随意变更、中止或终止。对确需变更、调整或者中止、终止合同的，应按规定履行相应的手续。③凡与本合同有关而引起的一切争议，甲乙双方应首先通过友好协商解决，如经协商后仍不能达成协议时，任何一方可以向甲方所在地法院提出诉讼。④本合同的诉讼管辖地为甲方所在地的法院。⑤在进行法院审理期间，除提交法院审理的事项外，合同其他部分仍应继续履行。⑥本合同按照中华人民共和国的法律进行解释。</w:t>
      </w:r>
    </w:p>
    <w:p w14:paraId="2EE3244E">
      <w:pPr>
        <w:spacing w:line="360" w:lineRule="auto"/>
        <w:ind w:firstLine="422" w:firstLineChars="200"/>
        <w:rPr>
          <w:rFonts w:hint="eastAsia" w:ascii="仿宋" w:hAnsi="仿宋" w:eastAsia="仿宋" w:cs="仿宋"/>
          <w:b/>
          <w:szCs w:val="24"/>
        </w:rPr>
      </w:pPr>
      <w:r>
        <w:rPr>
          <w:rFonts w:hint="eastAsia" w:ascii="仿宋" w:hAnsi="仿宋" w:eastAsia="仿宋" w:cs="仿宋"/>
          <w:b/>
          <w:szCs w:val="24"/>
        </w:rPr>
        <w:t>二十、合同订立</w:t>
      </w:r>
    </w:p>
    <w:p w14:paraId="482628A8">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1. 订立时间：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4C7F170">
      <w:pPr>
        <w:adjustRightInd w:val="0"/>
        <w:snapToGrid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2. 订立地点：</w:t>
      </w:r>
      <w:r>
        <w:rPr>
          <w:rFonts w:hint="eastAsia" w:ascii="仿宋" w:hAnsi="仿宋" w:eastAsia="仿宋" w:cs="仿宋"/>
          <w:szCs w:val="24"/>
          <w:u w:val="single"/>
        </w:rPr>
        <w:t xml:space="preserve">                                 </w:t>
      </w:r>
      <w:r>
        <w:rPr>
          <w:rFonts w:hint="eastAsia" w:ascii="仿宋" w:hAnsi="仿宋" w:eastAsia="仿宋" w:cs="仿宋"/>
          <w:szCs w:val="24"/>
        </w:rPr>
        <w:t>。</w:t>
      </w:r>
    </w:p>
    <w:p w14:paraId="02CF836A">
      <w:pPr>
        <w:tabs>
          <w:tab w:val="left" w:pos="980"/>
        </w:tabs>
        <w:kinsoku w:val="0"/>
        <w:spacing w:line="360" w:lineRule="auto"/>
        <w:ind w:firstLine="420" w:firstLineChars="200"/>
        <w:rPr>
          <w:rFonts w:hint="eastAsia" w:ascii="仿宋" w:hAnsi="仿宋" w:eastAsia="仿宋" w:cs="仿宋"/>
          <w:szCs w:val="24"/>
        </w:rPr>
      </w:pPr>
      <w:r>
        <w:rPr>
          <w:rFonts w:hint="eastAsia" w:ascii="仿宋" w:hAnsi="仿宋" w:eastAsia="仿宋" w:cs="仿宋"/>
          <w:szCs w:val="24"/>
        </w:rPr>
        <w:t>3. 本合同一式</w:t>
      </w:r>
      <w:r>
        <w:rPr>
          <w:rFonts w:hint="eastAsia" w:ascii="仿宋" w:hAnsi="仿宋" w:eastAsia="仿宋" w:cs="仿宋"/>
          <w:szCs w:val="24"/>
          <w:u w:val="single"/>
        </w:rPr>
        <w:t xml:space="preserve">    </w:t>
      </w:r>
      <w:r>
        <w:rPr>
          <w:rFonts w:hint="eastAsia" w:ascii="仿宋" w:hAnsi="仿宋" w:eastAsia="仿宋" w:cs="仿宋"/>
          <w:szCs w:val="24"/>
        </w:rPr>
        <w:t>份，其中，合同</w:t>
      </w:r>
      <w:r>
        <w:rPr>
          <w:rFonts w:hint="eastAsia" w:ascii="仿宋" w:hAnsi="仿宋" w:eastAsia="仿宋" w:cs="仿宋"/>
          <w:szCs w:val="24"/>
          <w:u w:val="single"/>
        </w:rPr>
        <w:t>正本一式    份</w:t>
      </w:r>
      <w:r>
        <w:rPr>
          <w:rFonts w:hint="eastAsia" w:ascii="仿宋" w:hAnsi="仿宋" w:eastAsia="仿宋" w:cs="仿宋"/>
          <w:szCs w:val="24"/>
        </w:rPr>
        <w:t>，</w:t>
      </w:r>
      <w:r>
        <w:rPr>
          <w:rFonts w:hint="eastAsia" w:ascii="仿宋" w:hAnsi="仿宋" w:eastAsia="仿宋" w:cs="仿宋"/>
          <w:szCs w:val="24"/>
          <w:u w:val="single"/>
        </w:rPr>
        <w:t>副本一式   份</w:t>
      </w:r>
      <w:r>
        <w:rPr>
          <w:rFonts w:hint="eastAsia" w:ascii="仿宋" w:hAnsi="仿宋" w:eastAsia="仿宋" w:cs="仿宋"/>
          <w:szCs w:val="24"/>
        </w:rPr>
        <w:t>，具有同等法律效力，正副本不一致，以正本为准。采供双方各执</w:t>
      </w:r>
      <w:r>
        <w:rPr>
          <w:rFonts w:hint="eastAsia" w:ascii="仿宋" w:hAnsi="仿宋" w:eastAsia="仿宋" w:cs="仿宋"/>
          <w:szCs w:val="24"/>
          <w:u w:val="single"/>
        </w:rPr>
        <w:t>正本壹份副本壹份</w:t>
      </w:r>
      <w:r>
        <w:rPr>
          <w:rFonts w:hint="eastAsia" w:ascii="仿宋" w:hAnsi="仿宋" w:eastAsia="仿宋" w:cs="仿宋"/>
          <w:szCs w:val="24"/>
        </w:rPr>
        <w:t>，监管部门备案</w:t>
      </w:r>
      <w:r>
        <w:rPr>
          <w:rFonts w:hint="eastAsia" w:ascii="仿宋" w:hAnsi="仿宋" w:eastAsia="仿宋" w:cs="仿宋"/>
          <w:szCs w:val="24"/>
          <w:u w:val="single"/>
        </w:rPr>
        <w:t>副本壹份</w:t>
      </w:r>
      <w:r>
        <w:rPr>
          <w:rFonts w:hint="eastAsia" w:ascii="仿宋" w:hAnsi="仿宋" w:eastAsia="仿宋" w:cs="仿宋"/>
          <w:szCs w:val="24"/>
        </w:rPr>
        <w:t>、采购代理机构存档</w:t>
      </w:r>
      <w:r>
        <w:rPr>
          <w:rFonts w:hint="eastAsia" w:ascii="仿宋" w:hAnsi="仿宋" w:eastAsia="仿宋" w:cs="仿宋"/>
          <w:szCs w:val="24"/>
          <w:u w:val="single"/>
        </w:rPr>
        <w:t>副本壹份</w:t>
      </w:r>
      <w:r>
        <w:rPr>
          <w:rFonts w:hint="eastAsia" w:ascii="仿宋" w:hAnsi="仿宋" w:eastAsia="仿宋" w:cs="仿宋"/>
          <w:szCs w:val="24"/>
        </w:rPr>
        <w:t>。采购人与供应商双方签字盖章后生效，合同执行完毕自动失效。</w:t>
      </w:r>
    </w:p>
    <w:p w14:paraId="5F189C58">
      <w:pPr>
        <w:pStyle w:val="4"/>
        <w:rPr>
          <w:rFonts w:hint="eastAsia" w:ascii="仿宋" w:hAnsi="仿宋" w:eastAsia="仿宋" w:cs="仿宋"/>
          <w:sz w:val="24"/>
          <w:szCs w:val="24"/>
        </w:rPr>
      </w:pPr>
    </w:p>
    <w:p w14:paraId="6140D585">
      <w:pPr>
        <w:pStyle w:val="4"/>
        <w:rPr>
          <w:rFonts w:hint="eastAsia" w:ascii="仿宋" w:hAnsi="仿宋" w:eastAsia="仿宋" w:cs="仿宋"/>
          <w:sz w:val="24"/>
          <w:szCs w:val="24"/>
        </w:rPr>
      </w:pPr>
    </w:p>
    <w:p w14:paraId="640AE60E">
      <w:pPr>
        <w:pStyle w:val="4"/>
        <w:rPr>
          <w:rFonts w:hint="eastAsia" w:ascii="仿宋" w:hAnsi="仿宋" w:eastAsia="仿宋" w:cs="仿宋"/>
          <w:sz w:val="24"/>
          <w:szCs w:val="24"/>
        </w:rPr>
      </w:pPr>
      <w:r>
        <w:rPr>
          <w:rFonts w:hint="eastAsia" w:ascii="仿宋" w:hAnsi="仿宋" w:eastAsia="仿宋" w:cs="仿宋"/>
          <w:sz w:val="24"/>
          <w:szCs w:val="24"/>
        </w:rPr>
        <w:t>（以下无正文）</w:t>
      </w:r>
    </w:p>
    <w:p w14:paraId="68A364E7">
      <w:pPr>
        <w:rPr>
          <w:rFonts w:hint="eastAsia" w:ascii="仿宋" w:hAnsi="仿宋" w:eastAsia="仿宋" w:cs="仿宋"/>
          <w:szCs w:val="24"/>
        </w:rPr>
      </w:pPr>
    </w:p>
    <w:p w14:paraId="7BAF57B0">
      <w:pPr>
        <w:rPr>
          <w:rFonts w:hint="eastAsia" w:ascii="仿宋" w:hAnsi="仿宋" w:eastAsia="仿宋" w:cs="仿宋"/>
          <w:szCs w:val="24"/>
        </w:rPr>
      </w:pPr>
      <w:r>
        <w:rPr>
          <w:rFonts w:hint="eastAsia" w:ascii="仿宋" w:hAnsi="仿宋" w:eastAsia="仿宋" w:cs="仿宋"/>
          <w:szCs w:val="24"/>
        </w:rPr>
        <w:br w:type="page"/>
      </w:r>
    </w:p>
    <w:p w14:paraId="6A93BCDE">
      <w:pPr>
        <w:spacing w:line="360" w:lineRule="auto"/>
        <w:rPr>
          <w:rFonts w:hint="eastAsia" w:ascii="仿宋" w:hAnsi="仿宋" w:eastAsia="仿宋" w:cs="仿宋"/>
          <w:szCs w:val="24"/>
        </w:rPr>
      </w:pPr>
      <w:r>
        <w:rPr>
          <w:rFonts w:hint="eastAsia" w:ascii="仿宋" w:hAnsi="仿宋" w:eastAsia="仿宋" w:cs="仿宋"/>
          <w:szCs w:val="24"/>
        </w:rPr>
        <w:t>甲方（委托方）：</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 xml:space="preserve">   乙方（受托方）：</w:t>
      </w:r>
      <w:r>
        <w:rPr>
          <w:rFonts w:hint="eastAsia" w:ascii="仿宋" w:hAnsi="仿宋" w:eastAsia="仿宋" w:cs="仿宋"/>
          <w:szCs w:val="24"/>
          <w:u w:val="single"/>
        </w:rPr>
        <w:t xml:space="preserve">                      </w:t>
      </w:r>
    </w:p>
    <w:p w14:paraId="485CF911">
      <w:pPr>
        <w:spacing w:line="360" w:lineRule="auto"/>
        <w:ind w:firstLine="2730" w:firstLineChars="1300"/>
        <w:rPr>
          <w:rFonts w:hint="eastAsia" w:ascii="仿宋" w:hAnsi="仿宋" w:eastAsia="仿宋" w:cs="仿宋"/>
          <w:szCs w:val="24"/>
        </w:rPr>
      </w:pPr>
    </w:p>
    <w:p w14:paraId="2535E27B">
      <w:pPr>
        <w:spacing w:line="360" w:lineRule="auto"/>
        <w:ind w:firstLine="1050" w:firstLineChars="500"/>
        <w:rPr>
          <w:rFonts w:hint="eastAsia" w:ascii="仿宋" w:hAnsi="仿宋" w:eastAsia="仿宋" w:cs="仿宋"/>
          <w:szCs w:val="24"/>
        </w:rPr>
      </w:pPr>
      <w:r>
        <w:rPr>
          <w:rFonts w:hint="eastAsia" w:ascii="仿宋" w:hAnsi="仿宋" w:eastAsia="仿宋" w:cs="仿宋"/>
          <w:szCs w:val="24"/>
        </w:rPr>
        <w:t>（盖章）                           （盖章）</w:t>
      </w:r>
    </w:p>
    <w:p w14:paraId="7299C69E">
      <w:pPr>
        <w:spacing w:line="360" w:lineRule="auto"/>
        <w:rPr>
          <w:rFonts w:hint="eastAsia" w:ascii="仿宋" w:hAnsi="仿宋" w:eastAsia="仿宋" w:cs="仿宋"/>
          <w:szCs w:val="24"/>
          <w:u w:val="single"/>
        </w:rPr>
      </w:pPr>
      <w:r>
        <w:rPr>
          <w:rFonts w:hint="eastAsia" w:ascii="仿宋" w:hAnsi="仿宋" w:eastAsia="仿宋" w:cs="仿宋"/>
          <w:szCs w:val="24"/>
        </w:rPr>
        <w:t>代表人（签字）：</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代表人（签字）：</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ab/>
      </w:r>
    </w:p>
    <w:p w14:paraId="0B84D50F">
      <w:pPr>
        <w:spacing w:line="360" w:lineRule="auto"/>
        <w:rPr>
          <w:rFonts w:hint="eastAsia" w:ascii="仿宋" w:hAnsi="仿宋" w:eastAsia="仿宋" w:cs="仿宋"/>
          <w:szCs w:val="24"/>
          <w:u w:val="single"/>
        </w:rPr>
      </w:pPr>
      <w:r>
        <w:rPr>
          <w:rFonts w:hint="eastAsia" w:ascii="仿宋" w:hAnsi="仿宋" w:eastAsia="仿宋" w:cs="仿宋"/>
          <w:szCs w:val="24"/>
        </w:rPr>
        <w:t>法定代表人（盖章）：</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法定代表人（盖章）：</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p>
    <w:p w14:paraId="5F5E3DCF">
      <w:pPr>
        <w:spacing w:line="360" w:lineRule="auto"/>
        <w:rPr>
          <w:rFonts w:hint="eastAsia" w:ascii="仿宋" w:hAnsi="仿宋" w:eastAsia="仿宋" w:cs="仿宋"/>
          <w:szCs w:val="24"/>
        </w:rPr>
      </w:pPr>
      <w:r>
        <w:rPr>
          <w:rFonts w:hint="eastAsia" w:ascii="仿宋" w:hAnsi="仿宋" w:eastAsia="仿宋" w:cs="仿宋"/>
          <w:szCs w:val="24"/>
        </w:rPr>
        <w:t>地    址：</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地    址：</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 xml:space="preserve"> </w:t>
      </w:r>
    </w:p>
    <w:p w14:paraId="791EB719">
      <w:pPr>
        <w:spacing w:line="360" w:lineRule="auto"/>
        <w:rPr>
          <w:rFonts w:hint="eastAsia" w:ascii="仿宋" w:hAnsi="仿宋" w:eastAsia="仿宋" w:cs="仿宋"/>
          <w:szCs w:val="24"/>
        </w:rPr>
      </w:pPr>
      <w:r>
        <w:rPr>
          <w:rFonts w:hint="eastAsia" w:ascii="仿宋" w:hAnsi="仿宋" w:eastAsia="仿宋" w:cs="仿宋"/>
          <w:szCs w:val="24"/>
        </w:rPr>
        <w:t>邮政编码：</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邮政编码：</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p>
    <w:p w14:paraId="3704712F">
      <w:pPr>
        <w:spacing w:line="360" w:lineRule="auto"/>
        <w:rPr>
          <w:rFonts w:hint="eastAsia" w:ascii="仿宋" w:hAnsi="仿宋" w:eastAsia="仿宋" w:cs="仿宋"/>
          <w:szCs w:val="24"/>
        </w:rPr>
      </w:pPr>
      <w:r>
        <w:rPr>
          <w:rFonts w:hint="eastAsia" w:ascii="仿宋" w:hAnsi="仿宋" w:eastAsia="仿宋" w:cs="仿宋"/>
          <w:szCs w:val="24"/>
        </w:rPr>
        <w:t>电    话：</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电    话：</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p>
    <w:p w14:paraId="62EF1B8E">
      <w:pPr>
        <w:spacing w:line="360" w:lineRule="auto"/>
        <w:rPr>
          <w:rFonts w:hint="eastAsia" w:ascii="仿宋" w:hAnsi="仿宋" w:eastAsia="仿宋" w:cs="仿宋"/>
          <w:szCs w:val="24"/>
        </w:rPr>
      </w:pPr>
      <w:r>
        <w:rPr>
          <w:rFonts w:hint="eastAsia" w:ascii="仿宋" w:hAnsi="仿宋" w:eastAsia="仿宋" w:cs="仿宋"/>
          <w:szCs w:val="24"/>
        </w:rPr>
        <w:t>传    真：</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传    真：</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p>
    <w:p w14:paraId="0BBB0FF0">
      <w:pPr>
        <w:spacing w:line="360" w:lineRule="auto"/>
        <w:rPr>
          <w:rFonts w:hint="eastAsia" w:ascii="仿宋" w:hAnsi="仿宋" w:eastAsia="仿宋" w:cs="仿宋"/>
          <w:szCs w:val="24"/>
        </w:rPr>
      </w:pPr>
      <w:r>
        <w:rPr>
          <w:rFonts w:hint="eastAsia" w:ascii="仿宋" w:hAnsi="仿宋" w:eastAsia="仿宋" w:cs="仿宋"/>
          <w:szCs w:val="24"/>
        </w:rPr>
        <w:t>开户银行：</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开户银行：</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 xml:space="preserve"> </w:t>
      </w:r>
    </w:p>
    <w:p w14:paraId="019C9E6A">
      <w:pPr>
        <w:pStyle w:val="11"/>
        <w:rPr>
          <w:rFonts w:hint="eastAsia" w:ascii="仿宋" w:hAnsi="仿宋" w:eastAsia="仿宋" w:cs="仿宋"/>
          <w:lang w:val="en-US" w:eastAsia="zh-Hans"/>
        </w:rPr>
      </w:pPr>
      <w:r>
        <w:rPr>
          <w:rFonts w:hint="eastAsia" w:ascii="仿宋" w:hAnsi="仿宋" w:eastAsia="仿宋" w:cs="仿宋"/>
          <w:szCs w:val="24"/>
        </w:rPr>
        <w:t>银行帐号：</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rPr>
        <w:tab/>
      </w:r>
      <w:r>
        <w:rPr>
          <w:rFonts w:hint="eastAsia" w:ascii="仿宋" w:hAnsi="仿宋" w:eastAsia="仿宋" w:cs="仿宋"/>
          <w:szCs w:val="24"/>
        </w:rPr>
        <w:tab/>
      </w:r>
      <w:r>
        <w:rPr>
          <w:rFonts w:hint="eastAsia" w:ascii="仿宋" w:hAnsi="仿宋" w:eastAsia="仿宋" w:cs="仿宋"/>
          <w:szCs w:val="24"/>
        </w:rPr>
        <w:t>银行帐号：</w:t>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r>
        <w:rPr>
          <w:rFonts w:hint="eastAsia" w:ascii="仿宋" w:hAnsi="仿宋" w:eastAsia="仿宋" w:cs="仿宋"/>
          <w:szCs w:val="24"/>
          <w:u w:val="single"/>
        </w:rPr>
        <w:tab/>
      </w:r>
    </w:p>
    <w:p w14:paraId="1CFD4117">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666C3"/>
    <w:rsid w:val="0DDE4FD5"/>
    <w:rsid w:val="48AD0A60"/>
    <w:rsid w:val="560666C3"/>
    <w:rsid w:val="5D163C8D"/>
    <w:rsid w:val="694035C3"/>
    <w:rsid w:val="7C281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3">
    <w:name w:val="annotation text"/>
    <w:basedOn w:val="1"/>
    <w:qFormat/>
    <w:uiPriority w:val="0"/>
    <w:pPr>
      <w:jc w:val="left"/>
    </w:pPr>
  </w:style>
  <w:style w:type="paragraph" w:styleId="4">
    <w:name w:val="Body Text"/>
    <w:basedOn w:val="1"/>
    <w:next w:val="1"/>
    <w:qFormat/>
    <w:uiPriority w:val="0"/>
    <w:pPr>
      <w:spacing w:after="120" w:afterLines="0" w:afterAutospacing="0"/>
    </w:pPr>
  </w:style>
  <w:style w:type="paragraph" w:styleId="5">
    <w:name w:val="Plain Text"/>
    <w:basedOn w:val="1"/>
    <w:next w:val="1"/>
    <w:qFormat/>
    <w:uiPriority w:val="0"/>
    <w:rPr>
      <w:rFonts w:hAnsi="Courier New"/>
      <w:kern w:val="2"/>
      <w:sz w:val="21"/>
    </w:rPr>
  </w:style>
  <w:style w:type="paragraph" w:styleId="6">
    <w:name w:val="footer"/>
    <w:basedOn w:val="1"/>
    <w:unhideWhenUsed/>
    <w:qFormat/>
    <w:uiPriority w:val="99"/>
    <w:pPr>
      <w:tabs>
        <w:tab w:val="center" w:pos="4153"/>
        <w:tab w:val="right" w:pos="8306"/>
      </w:tabs>
      <w:snapToGrid w:val="0"/>
      <w:spacing w:line="240" w:lineRule="atLeast"/>
    </w:pPr>
    <w:rPr>
      <w:sz w:val="18"/>
      <w:szCs w:val="18"/>
    </w:rPr>
  </w:style>
  <w:style w:type="paragraph" w:styleId="7">
    <w:name w:val="index 1"/>
    <w:basedOn w:val="1"/>
    <w:next w:val="1"/>
    <w:semiHidden/>
    <w:qFormat/>
    <w:uiPriority w:val="0"/>
    <w:rPr>
      <w:rFonts w:ascii="Times New Roman" w:hAnsi="Times New Roman"/>
      <w:szCs w:val="20"/>
    </w:rPr>
  </w:style>
  <w:style w:type="paragraph" w:styleId="8">
    <w:name w:val="Body Text First Indent"/>
    <w:basedOn w:val="4"/>
    <w:qFormat/>
    <w:uiPriority w:val="0"/>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4653</Words>
  <Characters>4704</Characters>
  <Lines>0</Lines>
  <Paragraphs>0</Paragraphs>
  <TotalTime>0</TotalTime>
  <ScaleCrop>false</ScaleCrop>
  <LinksUpToDate>false</LinksUpToDate>
  <CharactersWithSpaces>5156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2025-05-26T03:19:00Z</dcterms:created>
  <dc:creator>1</dc:creator>
  <cp:lastModifiedBy>1</cp:lastModifiedBy>
  <dcterms:modified xsi:type="dcterms:W3CDTF">2025-06-09T11:18:57Z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C37C59C647AC422BB939969A41174AE5_11</vt:lpwstr>
  </property>
  <property fmtid="{D5CDD505-2E9C-101B-9397-08002B2CF9AE}" pid="4" name="KSOTemplateDocerSaveRecord">
    <vt:lpwstr>eyJoZGlkIjoiYWRjNjA3YjNkZTkyNDk4OTI5YWU2YmU2MzVkMmI4MTAiLCJ1c2VySWQiOiI0ODU3MDc4MjgifQ==</vt:lpwstr>
  </property>
</Properties>
</file>