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版本号：KY2025-3-12820250611001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2025年境外社交媒体英文账号“游陕西”宣传推广项目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KY2025-3-128</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2025年境外社交媒体英文账号“游陕西”宣传推广项目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2025年境外社交媒体英文账号“游陕西”宣传推广项目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增进海外市场对陕西文化和旅游的了解，提升陕西文化和旅游海外知名度和美誉度，执行2025年度陕西省文化和旅游厅境外社交媒体英文官方账号宣传推广项目，运营维护Facebook、X、Instagram、Youtube、Tiktok5个平台官方账号Visit Shaanxi，包括官方账号维护、管理，线上线下活动策划、组织、实施，媒体公关广告发布等工作。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采购包1（2025年境外社交媒体英文账号“游陕西”宣传推广项目）：属于专门面向中小企业采购。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029-85217977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代理服务费收费标准：交费金额参照国家计委颁布的《招标代理服务收费管理暂行办法》（计价格[2002]1980号）及发改办价格[2003]857号文件的规定标准按服务计取，不足8000元按定额8000元收取。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增进海外市场对陕西文化和旅游的了解，提升陕西文化和旅游海外知名度和美誉度，执行2025年度陕西省文化和旅游厅境外社交媒体英文官方账号宣传推广项目，运营维护Facebook、X、Instagram、Youtube、Tiktok5个平台官方账号Visit Shaanxi，包括官方账号维护、管理，线上线下活动策划、组织、实施，媒体公关广告发布等工作。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境外社交媒体英文官方账号宣传推广项目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标的名称：境外社交媒体英文官方账号宣传推广项目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项目执行时间：</w:t>
            </w:r>
            <w:r>
              <w:rPr>
                <w:rFonts w:ascii="仿宋_GB2312" w:hAnsi="仿宋_GB2312" w:cs="仿宋_GB2312" w:eastAsia="仿宋_GB2312"/>
                <w:sz w:val="24"/>
              </w:rPr>
              <w:t>项目开始实施之日至</w:t>
            </w:r>
            <w:r>
              <w:rPr>
                <w:rFonts w:ascii="仿宋_GB2312" w:hAnsi="仿宋_GB2312" w:cs="仿宋_GB2312" w:eastAsia="仿宋_GB2312"/>
                <w:sz w:val="24"/>
              </w:rPr>
              <w:t>12月31日。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color w:val="000000"/>
              </w:rPr>
              <w:t>目标市场：国际市场，包括</w:t>
            </w:r>
            <w:r>
              <w:rPr>
                <w:rFonts w:ascii="仿宋_GB2312" w:hAnsi="仿宋_GB2312" w:cs="仿宋_GB2312" w:eastAsia="仿宋_GB2312"/>
                <w:sz w:val="24"/>
                <w:color w:val="000000"/>
              </w:rPr>
              <w:t>但并不限于</w:t>
            </w:r>
            <w:r>
              <w:rPr>
                <w:rFonts w:ascii="仿宋_GB2312" w:hAnsi="仿宋_GB2312" w:cs="仿宋_GB2312" w:eastAsia="仿宋_GB2312"/>
                <w:sz w:val="24"/>
                <w:color w:val="000000"/>
              </w:rPr>
              <w:t>美洲、欧洲、</w:t>
            </w:r>
            <w:r>
              <w:rPr>
                <w:rFonts w:ascii="仿宋_GB2312" w:hAnsi="仿宋_GB2312" w:cs="仿宋_GB2312" w:eastAsia="仿宋_GB2312"/>
                <w:sz w:val="24"/>
                <w:color w:val="000000"/>
              </w:rPr>
              <w:t>亚洲、大洋洲</w:t>
            </w:r>
            <w:r>
              <w:rPr>
                <w:rFonts w:ascii="仿宋_GB2312" w:hAnsi="仿宋_GB2312" w:cs="仿宋_GB2312" w:eastAsia="仿宋_GB2312"/>
                <w:sz w:val="24"/>
                <w:color w:val="000000"/>
              </w:rPr>
              <w:t>等国家和地区。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）项目说明及营销诉求：</w:t>
            </w:r>
          </w:p>
          <w:p>
            <w:pPr>
              <w:pStyle w:val="null3"/>
              <w:ind w:firstLine="480"/>
              <w:jc w:val="both"/>
            </w:pPr>
            <w:r>
              <w:rPr>
                <w:rFonts w:ascii="仿宋_GB2312" w:hAnsi="仿宋_GB2312" w:cs="仿宋_GB2312" w:eastAsia="仿宋_GB2312"/>
                <w:sz w:val="24"/>
              </w:rPr>
              <w:t>为进一步增进海外市场对陕西文化</w:t>
            </w:r>
            <w:r>
              <w:rPr>
                <w:rFonts w:ascii="仿宋_GB2312" w:hAnsi="仿宋_GB2312" w:cs="仿宋_GB2312" w:eastAsia="仿宋_GB2312"/>
                <w:sz w:val="24"/>
              </w:rPr>
              <w:t>和旅游</w:t>
            </w:r>
            <w:r>
              <w:rPr>
                <w:rFonts w:ascii="仿宋_GB2312" w:hAnsi="仿宋_GB2312" w:cs="仿宋_GB2312" w:eastAsia="仿宋_GB2312"/>
                <w:sz w:val="24"/>
              </w:rPr>
              <w:t>的了解，提升陕西文化和旅游海外知名度和美誉度，执行</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度</w:t>
            </w:r>
            <w:r>
              <w:rPr>
                <w:rFonts w:ascii="仿宋_GB2312" w:hAnsi="仿宋_GB2312" w:cs="仿宋_GB2312" w:eastAsia="仿宋_GB2312"/>
                <w:sz w:val="24"/>
              </w:rPr>
              <w:t>陕西</w:t>
            </w:r>
            <w:r>
              <w:rPr>
                <w:rFonts w:ascii="仿宋_GB2312" w:hAnsi="仿宋_GB2312" w:cs="仿宋_GB2312" w:eastAsia="仿宋_GB2312"/>
                <w:sz w:val="24"/>
              </w:rPr>
              <w:t>省</w:t>
            </w:r>
            <w:r>
              <w:rPr>
                <w:rFonts w:ascii="仿宋_GB2312" w:hAnsi="仿宋_GB2312" w:cs="仿宋_GB2312" w:eastAsia="仿宋_GB2312"/>
                <w:sz w:val="24"/>
              </w:rPr>
              <w:t>文化和旅游</w:t>
            </w:r>
            <w:r>
              <w:rPr>
                <w:rFonts w:ascii="仿宋_GB2312" w:hAnsi="仿宋_GB2312" w:cs="仿宋_GB2312" w:eastAsia="仿宋_GB2312"/>
                <w:sz w:val="24"/>
              </w:rPr>
              <w:t>厅</w:t>
            </w:r>
            <w:r>
              <w:rPr>
                <w:rFonts w:ascii="仿宋_GB2312" w:hAnsi="仿宋_GB2312" w:cs="仿宋_GB2312" w:eastAsia="仿宋_GB2312"/>
                <w:sz w:val="24"/>
              </w:rPr>
              <w:t>境外社交媒体</w:t>
            </w:r>
            <w:r>
              <w:rPr>
                <w:rFonts w:ascii="仿宋_GB2312" w:hAnsi="仿宋_GB2312" w:cs="仿宋_GB2312" w:eastAsia="仿宋_GB2312"/>
                <w:sz w:val="24"/>
              </w:rPr>
              <w:t>英文官方账号</w:t>
            </w:r>
            <w:r>
              <w:rPr>
                <w:rFonts w:ascii="仿宋_GB2312" w:hAnsi="仿宋_GB2312" w:cs="仿宋_GB2312" w:eastAsia="仿宋_GB2312"/>
                <w:sz w:val="24"/>
              </w:rPr>
              <w:t>宣传推广项目</w:t>
            </w:r>
            <w:r>
              <w:rPr>
                <w:rFonts w:ascii="仿宋_GB2312" w:hAnsi="仿宋_GB2312" w:cs="仿宋_GB2312" w:eastAsia="仿宋_GB2312"/>
                <w:sz w:val="24"/>
              </w:rPr>
              <w:t>，</w:t>
            </w:r>
            <w:r>
              <w:rPr>
                <w:rFonts w:ascii="仿宋_GB2312" w:hAnsi="仿宋_GB2312" w:cs="仿宋_GB2312" w:eastAsia="仿宋_GB2312"/>
                <w:sz w:val="24"/>
              </w:rPr>
              <w:t>运营维护</w:t>
            </w:r>
            <w:r>
              <w:rPr>
                <w:rFonts w:ascii="仿宋_GB2312" w:hAnsi="仿宋_GB2312" w:cs="仿宋_GB2312" w:eastAsia="仿宋_GB2312"/>
                <w:sz w:val="24"/>
              </w:rPr>
              <w:t>Facebook</w:t>
            </w:r>
            <w:r>
              <w:rPr>
                <w:rFonts w:ascii="仿宋_GB2312" w:hAnsi="仿宋_GB2312" w:cs="仿宋_GB2312" w:eastAsia="仿宋_GB2312"/>
                <w:sz w:val="24"/>
              </w:rPr>
              <w:t>、</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Instagram</w:t>
            </w:r>
            <w:r>
              <w:rPr>
                <w:rFonts w:ascii="仿宋_GB2312" w:hAnsi="仿宋_GB2312" w:cs="仿宋_GB2312" w:eastAsia="仿宋_GB2312"/>
                <w:sz w:val="24"/>
              </w:rPr>
              <w:t>、</w:t>
            </w:r>
            <w:r>
              <w:rPr>
                <w:rFonts w:ascii="仿宋_GB2312" w:hAnsi="仿宋_GB2312" w:cs="仿宋_GB2312" w:eastAsia="仿宋_GB2312"/>
                <w:sz w:val="24"/>
              </w:rPr>
              <w:t>Youtube、Tiktok</w:t>
            </w:r>
            <w:r>
              <w:rPr>
                <w:rFonts w:ascii="仿宋_GB2312" w:hAnsi="仿宋_GB2312" w:cs="仿宋_GB2312" w:eastAsia="仿宋_GB2312"/>
                <w:sz w:val="24"/>
              </w:rPr>
              <w:t>5</w:t>
            </w:r>
            <w:r>
              <w:rPr>
                <w:rFonts w:ascii="仿宋_GB2312" w:hAnsi="仿宋_GB2312" w:cs="仿宋_GB2312" w:eastAsia="仿宋_GB2312"/>
                <w:sz w:val="24"/>
              </w:rPr>
              <w:t>个平台官方账</w:t>
            </w:r>
            <w:r>
              <w:rPr>
                <w:rFonts w:ascii="仿宋_GB2312" w:hAnsi="仿宋_GB2312" w:cs="仿宋_GB2312" w:eastAsia="仿宋_GB2312"/>
                <w:sz w:val="24"/>
              </w:rPr>
              <w:t>号</w:t>
            </w:r>
            <w:r>
              <w:rPr>
                <w:rFonts w:ascii="仿宋_GB2312" w:hAnsi="仿宋_GB2312" w:cs="仿宋_GB2312" w:eastAsia="仿宋_GB2312"/>
                <w:sz w:val="24"/>
              </w:rPr>
              <w:t>Visit Shaanxi</w:t>
            </w:r>
            <w:r>
              <w:rPr>
                <w:rFonts w:ascii="仿宋_GB2312" w:hAnsi="仿宋_GB2312" w:cs="仿宋_GB2312" w:eastAsia="仿宋_GB2312"/>
                <w:sz w:val="24"/>
              </w:rPr>
              <w:t>，包括官方账号维护、管理，线上线下活动策划、组织、实施，媒体公关</w:t>
            </w:r>
            <w:r>
              <w:rPr>
                <w:rFonts w:ascii="仿宋_GB2312" w:hAnsi="仿宋_GB2312" w:cs="仿宋_GB2312" w:eastAsia="仿宋_GB2312"/>
                <w:sz w:val="24"/>
              </w:rPr>
              <w:t>广告发布</w:t>
            </w:r>
            <w:r>
              <w:rPr>
                <w:rFonts w:ascii="仿宋_GB2312" w:hAnsi="仿宋_GB2312" w:cs="仿宋_GB2312" w:eastAsia="仿宋_GB2312"/>
                <w:sz w:val="24"/>
              </w:rPr>
              <w:t>等工作。具体内容包括但不限于以下部分：</w:t>
            </w:r>
          </w:p>
          <w:p>
            <w:pPr>
              <w:pStyle w:val="null3"/>
            </w:pPr>
            <w:r>
              <w:rPr>
                <w:rFonts w:ascii="仿宋_GB2312" w:hAnsi="仿宋_GB2312" w:cs="仿宋_GB2312" w:eastAsia="仿宋_GB2312"/>
                <w:sz w:val="24"/>
              </w:rPr>
              <w:t>1.</w:t>
            </w:r>
            <w:r>
              <w:rPr>
                <w:rFonts w:ascii="仿宋_GB2312" w:hAnsi="仿宋_GB2312" w:cs="仿宋_GB2312" w:eastAsia="仿宋_GB2312"/>
                <w:sz w:val="24"/>
              </w:rPr>
              <w:t>数据调研</w:t>
            </w:r>
          </w:p>
          <w:p>
            <w:pPr>
              <w:pStyle w:val="null3"/>
              <w:ind w:firstLine="480"/>
              <w:jc w:val="both"/>
            </w:pPr>
            <w:r>
              <w:rPr>
                <w:rFonts w:ascii="仿宋_GB2312" w:hAnsi="仿宋_GB2312" w:cs="仿宋_GB2312" w:eastAsia="仿宋_GB2312"/>
                <w:sz w:val="24"/>
              </w:rPr>
              <w:t>进行各平台账号粉丝画像，对年龄、性别、内容喜好等调研。对英语国家和地区民众感兴趣的陕西文化和旅游内容进行摸底，并于一个月内完成调研报告提交采购人，以便后期有针对性创作内容，精准传播。调研报告包括全年工作思路及方案。</w:t>
            </w:r>
          </w:p>
          <w:p>
            <w:pPr>
              <w:pStyle w:val="null3"/>
            </w:pPr>
            <w:r>
              <w:rPr>
                <w:rFonts w:ascii="仿宋_GB2312" w:hAnsi="仿宋_GB2312" w:cs="仿宋_GB2312" w:eastAsia="仿宋_GB2312"/>
                <w:sz w:val="24"/>
              </w:rPr>
              <w:t>2.</w:t>
            </w:r>
            <w:r>
              <w:rPr>
                <w:rFonts w:ascii="仿宋_GB2312" w:hAnsi="仿宋_GB2312" w:cs="仿宋_GB2312" w:eastAsia="仿宋_GB2312"/>
                <w:sz w:val="24"/>
              </w:rPr>
              <w:t>内容生产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负责所有平台账号发布内容的生产工作，包括：页面设计更新、帖文素材采集、编辑、撰写、约投稿，图片拍摄、编辑、挑选及修图、视频拍摄、视频制作和剪辑等所有内容。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系统体现陕西文化和旅游资源特色，包括自然、历史、民俗、非遗、艺术、美食、节庆等各个方面。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创作优质内容，激励粉丝点赞及分享。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4）提前一</w:t>
            </w:r>
            <w:r>
              <w:rPr>
                <w:rFonts w:ascii="仿宋_GB2312" w:hAnsi="仿宋_GB2312" w:cs="仿宋_GB2312" w:eastAsia="仿宋_GB2312"/>
                <w:sz w:val="24"/>
              </w:rPr>
              <w:t>周</w:t>
            </w:r>
            <w:r>
              <w:rPr>
                <w:rFonts w:ascii="仿宋_GB2312" w:hAnsi="仿宋_GB2312" w:cs="仿宋_GB2312" w:eastAsia="仿宋_GB2312"/>
                <w:sz w:val="24"/>
              </w:rPr>
              <w:t>将图文类</w:t>
            </w:r>
            <w:r>
              <w:rPr>
                <w:rFonts w:ascii="仿宋_GB2312" w:hAnsi="仿宋_GB2312" w:cs="仿宋_GB2312" w:eastAsia="仿宋_GB2312"/>
                <w:sz w:val="24"/>
              </w:rPr>
              <w:t>帖文，</w:t>
            </w:r>
            <w:r>
              <w:rPr>
                <w:rFonts w:ascii="仿宋_GB2312" w:hAnsi="仿宋_GB2312" w:cs="仿宋_GB2312" w:eastAsia="仿宋_GB2312"/>
                <w:sz w:val="24"/>
              </w:rPr>
              <w:t>提前两周将视频类贴文</w:t>
            </w:r>
            <w:r>
              <w:rPr>
                <w:rFonts w:ascii="仿宋_GB2312" w:hAnsi="仿宋_GB2312" w:cs="仿宋_GB2312" w:eastAsia="仿宋_GB2312"/>
                <w:sz w:val="24"/>
              </w:rPr>
              <w:t>提交</w:t>
            </w:r>
            <w:r>
              <w:rPr>
                <w:rFonts w:ascii="仿宋_GB2312" w:hAnsi="仿宋_GB2312" w:cs="仿宋_GB2312" w:eastAsia="仿宋_GB2312"/>
                <w:sz w:val="24"/>
              </w:rPr>
              <w:t>采购人</w:t>
            </w:r>
            <w:r>
              <w:rPr>
                <w:rFonts w:ascii="仿宋_GB2312" w:hAnsi="仿宋_GB2312" w:cs="仿宋_GB2312" w:eastAsia="仿宋_GB2312"/>
                <w:sz w:val="24"/>
              </w:rPr>
              <w:t>审核。</w:t>
            </w:r>
          </w:p>
          <w:p>
            <w:pPr>
              <w:pStyle w:val="null3"/>
            </w:pPr>
            <w:r>
              <w:rPr>
                <w:rFonts w:ascii="仿宋_GB2312" w:hAnsi="仿宋_GB2312" w:cs="仿宋_GB2312" w:eastAsia="仿宋_GB2312"/>
                <w:sz w:val="24"/>
              </w:rPr>
              <w:t>3.</w:t>
            </w:r>
            <w:r>
              <w:rPr>
                <w:rFonts w:ascii="仿宋_GB2312" w:hAnsi="仿宋_GB2312" w:cs="仿宋_GB2312" w:eastAsia="仿宋_GB2312"/>
                <w:sz w:val="24"/>
              </w:rPr>
              <w:t>信息发布</w:t>
            </w:r>
          </w:p>
          <w:p>
            <w:pPr>
              <w:pStyle w:val="null3"/>
              <w:ind w:firstLine="480"/>
              <w:jc w:val="both"/>
            </w:pPr>
            <w:r>
              <w:rPr>
                <w:rFonts w:ascii="仿宋_GB2312" w:hAnsi="仿宋_GB2312" w:cs="仿宋_GB2312" w:eastAsia="仿宋_GB2312"/>
                <w:sz w:val="24"/>
              </w:rPr>
              <w:t>负责所有平台账号信息发布工作，发布时间以主要客源地社交媒体活跃时段为主。</w:t>
            </w:r>
          </w:p>
          <w:p>
            <w:pPr>
              <w:pStyle w:val="null3"/>
            </w:pPr>
            <w:r>
              <w:rPr>
                <w:rFonts w:ascii="仿宋_GB2312" w:hAnsi="仿宋_GB2312" w:cs="仿宋_GB2312" w:eastAsia="仿宋_GB2312"/>
                <w:sz w:val="24"/>
              </w:rPr>
              <w:t>4.</w:t>
            </w:r>
            <w:r>
              <w:rPr>
                <w:rFonts w:ascii="仿宋_GB2312" w:hAnsi="仿宋_GB2312" w:cs="仿宋_GB2312" w:eastAsia="仿宋_GB2312"/>
                <w:sz w:val="24"/>
              </w:rPr>
              <w:t>粉丝管理</w:t>
            </w:r>
          </w:p>
          <w:p>
            <w:pPr>
              <w:pStyle w:val="null3"/>
              <w:ind w:firstLine="480"/>
              <w:jc w:val="both"/>
            </w:pPr>
            <w:r>
              <w:rPr>
                <w:rFonts w:ascii="仿宋_GB2312" w:hAnsi="仿宋_GB2312" w:cs="仿宋_GB2312" w:eastAsia="仿宋_GB2312"/>
                <w:sz w:val="24"/>
              </w:rPr>
              <w:t>管理维护主页，及时回复粉丝留言和提问，主页整体回复率达到</w:t>
            </w:r>
            <w:r>
              <w:rPr>
                <w:rFonts w:ascii="仿宋_GB2312" w:hAnsi="仿宋_GB2312" w:cs="仿宋_GB2312" w:eastAsia="仿宋_GB2312"/>
                <w:sz w:val="24"/>
              </w:rPr>
              <w:t>95</w:t>
            </w:r>
            <w:r>
              <w:rPr>
                <w:rFonts w:ascii="仿宋_GB2312" w:hAnsi="仿宋_GB2312" w:cs="仿宋_GB2312" w:eastAsia="仿宋_GB2312"/>
                <w:sz w:val="24"/>
              </w:rPr>
              <w:t>%，需在24小时内回复粉丝提问。内容诚恳客观，灵活幽默，不能千篇一律。</w:t>
            </w:r>
          </w:p>
          <w:p>
            <w:pPr>
              <w:pStyle w:val="null3"/>
            </w:pPr>
            <w:r>
              <w:rPr>
                <w:rFonts w:ascii="仿宋_GB2312" w:hAnsi="仿宋_GB2312" w:cs="仿宋_GB2312" w:eastAsia="仿宋_GB2312"/>
                <w:sz w:val="24"/>
              </w:rPr>
              <w:t>5.</w:t>
            </w:r>
            <w:r>
              <w:rPr>
                <w:rFonts w:ascii="仿宋_GB2312" w:hAnsi="仿宋_GB2312" w:cs="仿宋_GB2312" w:eastAsia="仿宋_GB2312"/>
                <w:sz w:val="24"/>
              </w:rPr>
              <w:t>活动策划</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周期性策划线上互动活动。具体方案包括但不限于活动名称、内容、策划亮点、应用程序开发及页面设计（如涉及）、活动规则、配套活动帖文撰写发布、意见领袖组织使用、视频制作、奖品、预估效果等。采购人拥有线上活动相关设计和应用程序的永久使用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策划、举办线下活动，活动应具有全球性主题事件营销效果。具体方案包括但不限于活动名称、时间、地点、场地布置、人员组织实施、策划亮点、内容、议程、道具、奖金（奖品）、现场拍摄（照片和摄影）、视频制作、与线上活动关联度、预估效果等。要求承诺：如因疫情</w:t>
            </w:r>
            <w:r>
              <w:rPr>
                <w:rFonts w:ascii="仿宋_GB2312" w:hAnsi="仿宋_GB2312" w:cs="仿宋_GB2312" w:eastAsia="仿宋_GB2312"/>
                <w:sz w:val="24"/>
              </w:rPr>
              <w:t>等</w:t>
            </w:r>
            <w:r>
              <w:rPr>
                <w:rFonts w:ascii="仿宋_GB2312" w:hAnsi="仿宋_GB2312" w:cs="仿宋_GB2312" w:eastAsia="仿宋_GB2312"/>
                <w:sz w:val="24"/>
              </w:rPr>
              <w:t>采购人</w:t>
            </w:r>
            <w:r>
              <w:rPr>
                <w:rFonts w:ascii="仿宋_GB2312" w:hAnsi="仿宋_GB2312" w:cs="仿宋_GB2312" w:eastAsia="仿宋_GB2312"/>
                <w:sz w:val="24"/>
              </w:rPr>
              <w:t>认可的不可抗力原因导致线下活动不能举办，则应置换为双方可接受的等值服务。</w:t>
            </w:r>
          </w:p>
          <w:p>
            <w:pPr>
              <w:pStyle w:val="null3"/>
            </w:pPr>
            <w:r>
              <w:rPr>
                <w:rFonts w:ascii="仿宋_GB2312" w:hAnsi="仿宋_GB2312" w:cs="仿宋_GB2312" w:eastAsia="仿宋_GB2312"/>
                <w:sz w:val="24"/>
              </w:rPr>
              <w:t>6.海外</w:t>
            </w:r>
            <w:r>
              <w:rPr>
                <w:rFonts w:ascii="仿宋_GB2312" w:hAnsi="仿宋_GB2312" w:cs="仿宋_GB2312" w:eastAsia="仿宋_GB2312"/>
                <w:sz w:val="24"/>
              </w:rPr>
              <w:t>媒体广告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向潜在目标受众定向推送讯息，</w:t>
            </w:r>
            <w:r>
              <w:rPr>
                <w:rFonts w:ascii="仿宋_GB2312" w:hAnsi="仿宋_GB2312" w:cs="仿宋_GB2312" w:eastAsia="仿宋_GB2312"/>
                <w:sz w:val="24"/>
              </w:rPr>
              <w:t>开展</w:t>
            </w:r>
            <w:r>
              <w:rPr>
                <w:rFonts w:ascii="仿宋_GB2312" w:hAnsi="仿宋_GB2312" w:cs="仿宋_GB2312" w:eastAsia="仿宋_GB2312"/>
                <w:sz w:val="24"/>
              </w:rPr>
              <w:t>策略性的定向</w:t>
            </w:r>
            <w:r>
              <w:rPr>
                <w:rFonts w:ascii="仿宋_GB2312" w:hAnsi="仿宋_GB2312" w:cs="仿宋_GB2312" w:eastAsia="仿宋_GB2312"/>
                <w:sz w:val="24"/>
              </w:rPr>
              <w:t>广告</w:t>
            </w:r>
            <w:r>
              <w:rPr>
                <w:rFonts w:ascii="仿宋_GB2312" w:hAnsi="仿宋_GB2312" w:cs="仿宋_GB2312" w:eastAsia="仿宋_GB2312"/>
                <w:sz w:val="24"/>
              </w:rPr>
              <w:t>推广。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配合线上线下</w:t>
            </w:r>
            <w:r>
              <w:rPr>
                <w:rFonts w:ascii="仿宋_GB2312" w:hAnsi="仿宋_GB2312" w:cs="仿宋_GB2312" w:eastAsia="仿宋_GB2312"/>
                <w:sz w:val="24"/>
                <w:color w:val="000000"/>
              </w:rPr>
              <w:t>及采购人举办的大型</w:t>
            </w:r>
            <w:r>
              <w:rPr>
                <w:rFonts w:ascii="仿宋_GB2312" w:hAnsi="仿宋_GB2312" w:cs="仿宋_GB2312" w:eastAsia="仿宋_GB2312"/>
                <w:sz w:val="24"/>
                <w:color w:val="000000"/>
              </w:rPr>
              <w:t>活动在</w:t>
            </w:r>
            <w:r>
              <w:rPr>
                <w:rFonts w:ascii="仿宋_GB2312" w:hAnsi="仿宋_GB2312" w:cs="仿宋_GB2312" w:eastAsia="仿宋_GB2312"/>
                <w:sz w:val="24"/>
                <w:color w:val="000000"/>
              </w:rPr>
              <w:t>海外主流</w:t>
            </w:r>
            <w:r>
              <w:rPr>
                <w:rFonts w:ascii="仿宋_GB2312" w:hAnsi="仿宋_GB2312" w:cs="仿宋_GB2312" w:eastAsia="仿宋_GB2312"/>
                <w:sz w:val="24"/>
                <w:color w:val="000000"/>
              </w:rPr>
              <w:t>线上媒体发稿宣传。具体方案包括但不限于发稿时间、每篇宣传亮点、篇数、渠道、发稿形式、最低发布数量等。</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1"/>
              </w:rPr>
              <w:t xml:space="preserve"> </w:t>
            </w:r>
            <w:r>
              <w:rPr>
                <w:rFonts w:ascii="仿宋_GB2312" w:hAnsi="仿宋_GB2312" w:cs="仿宋_GB2312" w:eastAsia="仿宋_GB2312"/>
                <w:sz w:val="24"/>
                <w:color w:val="000000"/>
              </w:rPr>
              <w:t>网络安全及</w:t>
            </w:r>
            <w:r>
              <w:rPr>
                <w:rFonts w:ascii="仿宋_GB2312" w:hAnsi="仿宋_GB2312" w:cs="仿宋_GB2312" w:eastAsia="仿宋_GB2312"/>
                <w:sz w:val="24"/>
                <w:color w:val="000000"/>
              </w:rPr>
              <w:t>危机管理</w:t>
            </w:r>
          </w:p>
          <w:p>
            <w:pPr>
              <w:pStyle w:val="null3"/>
              <w:ind w:firstLine="480"/>
              <w:jc w:val="both"/>
            </w:pPr>
            <w:r>
              <w:rPr>
                <w:rFonts w:ascii="仿宋_GB2312" w:hAnsi="仿宋_GB2312" w:cs="仿宋_GB2312" w:eastAsia="仿宋_GB2312"/>
                <w:sz w:val="24"/>
                <w:color w:val="000000"/>
              </w:rPr>
              <w:t>应配合采购人完成网络安全等级保护制度的落实。做好</w:t>
            </w:r>
            <w:r>
              <w:rPr>
                <w:rFonts w:ascii="仿宋_GB2312" w:hAnsi="仿宋_GB2312" w:cs="仿宋_GB2312" w:eastAsia="仿宋_GB2312"/>
                <w:sz w:val="24"/>
                <w:color w:val="000000"/>
              </w:rPr>
              <w:t>网络安全</w:t>
            </w:r>
            <w:r>
              <w:rPr>
                <w:rFonts w:ascii="仿宋_GB2312" w:hAnsi="仿宋_GB2312" w:cs="仿宋_GB2312" w:eastAsia="仿宋_GB2312"/>
                <w:sz w:val="24"/>
                <w:color w:val="000000"/>
              </w:rPr>
              <w:t>及危机公关，确保</w:t>
            </w:r>
            <w:r>
              <w:rPr>
                <w:rFonts w:ascii="仿宋_GB2312" w:hAnsi="仿宋_GB2312" w:cs="仿宋_GB2312" w:eastAsia="仿宋_GB2312"/>
                <w:sz w:val="24"/>
                <w:color w:val="000000"/>
              </w:rPr>
              <w:t>项目涉及</w:t>
            </w:r>
            <w:r>
              <w:rPr>
                <w:rFonts w:ascii="仿宋_GB2312" w:hAnsi="仿宋_GB2312" w:cs="仿宋_GB2312" w:eastAsia="仿宋_GB2312"/>
                <w:sz w:val="24"/>
                <w:color w:val="000000"/>
              </w:rPr>
              <w:t>账户及资料</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安全，并对造成</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境外社交媒体产生</w:t>
            </w:r>
            <w:r>
              <w:rPr>
                <w:rFonts w:ascii="仿宋_GB2312" w:hAnsi="仿宋_GB2312" w:cs="仿宋_GB2312" w:eastAsia="仿宋_GB2312"/>
                <w:sz w:val="24"/>
              </w:rPr>
              <w:t>负面影响的危机事件及时进行处理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危机事件包括并不限于以下情况：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1）密级或敏感或非密级资料的泄漏；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2）黑客攻击（或非法入侵）事件、病毒安全紧急处置等；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3）本项目重要信息基础建设系统或资料窜改；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4）本项目重要信息基础建设运作遭影响或系统停顿，无法于可容忍中断时间内恢复正常运作；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5）核心业务系统或资料遭严重窜改；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6）核心业务运作遭影响或系统停顿，无法于可容忍中断时间内恢复正常运作。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7）网页出现不良、非法言论等；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8）图文及版面被篡改、发帖被删等；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9）遭到用户投诉、或资料遭窜改；</w:t>
            </w:r>
          </w:p>
          <w:p>
            <w:pPr>
              <w:pStyle w:val="null3"/>
              <w:ind w:firstLine="480"/>
              <w:jc w:val="both"/>
            </w:pPr>
            <w:r>
              <w:rPr>
                <w:rFonts w:ascii="仿宋_GB2312" w:hAnsi="仿宋_GB2312" w:cs="仿宋_GB2312" w:eastAsia="仿宋_GB2312"/>
                <w:sz w:val="24"/>
              </w:rPr>
              <w:t>中标人在发现危机事件后应即时通报采购人，同时迅速采取处理措施，消除影响。若采购人认为有必要，双方共同协商处理。处理完成后中标人应向采购人及时书面通报。</w:t>
            </w:r>
          </w:p>
          <w:p>
            <w:pPr>
              <w:pStyle w:val="null3"/>
              <w:ind w:firstLine="480"/>
              <w:jc w:val="both"/>
            </w:pPr>
            <w:r>
              <w:rPr>
                <w:rFonts w:ascii="仿宋_GB2312" w:hAnsi="仿宋_GB2312" w:cs="仿宋_GB2312" w:eastAsia="仿宋_GB2312"/>
                <w:sz w:val="24"/>
              </w:rPr>
              <w:t>如果发生</w:t>
            </w:r>
            <w:r>
              <w:rPr>
                <w:rFonts w:ascii="仿宋_GB2312" w:hAnsi="仿宋_GB2312" w:cs="仿宋_GB2312" w:eastAsia="仿宋_GB2312"/>
                <w:sz w:val="24"/>
              </w:rPr>
              <w:t>“封号”等重大恶性危机事件，直接扣款50%。</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分析报告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1）每月提供各项指标完成情况以及后台各项数据截图。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每季度提供基本数据详细分析报表，包括分类分析及相关互动分析、粉丝增长数据分析、投放市场分析、最受关注贴文</w:t>
            </w:r>
            <w:r>
              <w:rPr>
                <w:rFonts w:ascii="仿宋_GB2312" w:hAnsi="仿宋_GB2312" w:cs="仿宋_GB2312" w:eastAsia="仿宋_GB2312"/>
                <w:sz w:val="24"/>
              </w:rPr>
              <w:t>及话题等</w:t>
            </w:r>
            <w:r>
              <w:rPr>
                <w:rFonts w:ascii="仿宋_GB2312" w:hAnsi="仿宋_GB2312" w:cs="仿宋_GB2312" w:eastAsia="仿宋_GB2312"/>
                <w:sz w:val="24"/>
              </w:rPr>
              <w:t>总结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总结问题并制定下一季度改进策略。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4）根据采购人要求及时提供相应数据。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5）汇总整理各类图文视频资料，并向采购人提交存有上述资料的移动存储设备。</w:t>
            </w:r>
          </w:p>
          <w:p>
            <w:pPr>
              <w:pStyle w:val="null3"/>
              <w:jc w:val="both"/>
            </w:pPr>
            <w:r>
              <w:rPr>
                <w:rFonts w:ascii="仿宋_GB2312" w:hAnsi="仿宋_GB2312" w:cs="仿宋_GB2312" w:eastAsia="仿宋_GB2312"/>
                <w:sz w:val="24"/>
              </w:rPr>
              <w:t>9.所有</w:t>
            </w:r>
            <w:r>
              <w:rPr>
                <w:rFonts w:ascii="仿宋_GB2312" w:hAnsi="仿宋_GB2312" w:cs="仿宋_GB2312" w:eastAsia="仿宋_GB2312"/>
                <w:sz w:val="24"/>
              </w:rPr>
              <w:t>权</w:t>
            </w:r>
          </w:p>
          <w:p>
            <w:pPr>
              <w:pStyle w:val="null3"/>
              <w:ind w:firstLine="480"/>
              <w:jc w:val="both"/>
            </w:pPr>
            <w:r>
              <w:rPr>
                <w:rFonts w:ascii="仿宋_GB2312" w:hAnsi="仿宋_GB2312" w:cs="仿宋_GB2312" w:eastAsia="仿宋_GB2312"/>
                <w:sz w:val="24"/>
              </w:rPr>
              <w:t>各平台涉及的账户、图文视频资料、应用程序、广告投放、活动设计方案等相关内容所有权归属采购人。服务期满前，需将相关资料提交采购人。</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人员配备</w:t>
            </w:r>
          </w:p>
          <w:p>
            <w:pPr>
              <w:pStyle w:val="null3"/>
              <w:ind w:firstLine="480"/>
              <w:jc w:val="both"/>
            </w:pPr>
            <w:r>
              <w:rPr>
                <w:rFonts w:ascii="仿宋_GB2312" w:hAnsi="仿宋_GB2312" w:cs="仿宋_GB2312" w:eastAsia="仿宋_GB2312"/>
                <w:sz w:val="24"/>
              </w:rPr>
              <w:t>为项目配备</w:t>
            </w:r>
            <w:r>
              <w:rPr>
                <w:rFonts w:ascii="仿宋_GB2312" w:hAnsi="仿宋_GB2312" w:cs="仿宋_GB2312" w:eastAsia="仿宋_GB2312"/>
                <w:sz w:val="24"/>
              </w:rPr>
              <w:t>专职</w:t>
            </w:r>
            <w:r>
              <w:rPr>
                <w:rFonts w:ascii="仿宋_GB2312" w:hAnsi="仿宋_GB2312" w:cs="仿宋_GB2312" w:eastAsia="仿宋_GB2312"/>
                <w:sz w:val="24"/>
              </w:rPr>
              <w:t>、稳定的</w:t>
            </w:r>
            <w:r>
              <w:rPr>
                <w:rFonts w:ascii="仿宋_GB2312" w:hAnsi="仿宋_GB2312" w:cs="仿宋_GB2312" w:eastAsia="仿宋_GB2312"/>
                <w:sz w:val="24"/>
              </w:rPr>
              <w:t>团队保证工作顺利执行，明确团队架构和工作人员职责。必须有</w:t>
            </w:r>
            <w:r>
              <w:rPr>
                <w:rFonts w:ascii="仿宋_GB2312" w:hAnsi="仿宋_GB2312" w:cs="仿宋_GB2312" w:eastAsia="仿宋_GB2312"/>
                <w:sz w:val="24"/>
              </w:rPr>
              <w:t>英文</w:t>
            </w:r>
            <w:r>
              <w:rPr>
                <w:rFonts w:ascii="仿宋_GB2312" w:hAnsi="仿宋_GB2312" w:cs="仿宋_GB2312" w:eastAsia="仿宋_GB2312"/>
                <w:sz w:val="24"/>
              </w:rPr>
              <w:t>达到母语级的翻译人员或审校人员，保证帖文语言质量。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1.接入服务</w:t>
            </w:r>
          </w:p>
          <w:p>
            <w:pPr>
              <w:pStyle w:val="null3"/>
              <w:ind w:firstLine="640"/>
              <w:jc w:val="both"/>
            </w:pPr>
            <w:r>
              <w:rPr>
                <w:rFonts w:ascii="仿宋_GB2312" w:hAnsi="仿宋_GB2312" w:cs="仿宋_GB2312" w:eastAsia="仿宋_GB2312"/>
                <w:sz w:val="24"/>
              </w:rPr>
              <w:t>中标单位须提供采购人能够</w:t>
            </w:r>
            <w:r>
              <w:rPr>
                <w:rFonts w:ascii="仿宋_GB2312" w:hAnsi="仿宋_GB2312" w:cs="仿宋_GB2312" w:eastAsia="仿宋_GB2312"/>
                <w:sz w:val="24"/>
              </w:rPr>
              <w:t>24小时浏览官方账号必备的互联网接入服务及1套硬件设备。</w:t>
            </w:r>
          </w:p>
          <w:p>
            <w:pPr>
              <w:pStyle w:val="null3"/>
              <w:jc w:val="both"/>
            </w:pPr>
            <w:r>
              <w:rPr>
                <w:rFonts w:ascii="仿宋_GB2312" w:hAnsi="仿宋_GB2312" w:cs="仿宋_GB2312" w:eastAsia="仿宋_GB2312"/>
                <w:sz w:val="24"/>
              </w:rPr>
              <w:t>12.结项报告</w:t>
            </w:r>
          </w:p>
          <w:p>
            <w:pPr>
              <w:pStyle w:val="null3"/>
              <w:ind w:firstLine="480"/>
              <w:jc w:val="both"/>
            </w:pPr>
            <w:r>
              <w:rPr>
                <w:rFonts w:ascii="仿宋_GB2312" w:hAnsi="仿宋_GB2312" w:cs="仿宋_GB2312" w:eastAsia="仿宋_GB2312"/>
                <w:sz w:val="24"/>
              </w:rPr>
              <w:t>项目完成后，</w:t>
            </w:r>
            <w:r>
              <w:rPr>
                <w:rFonts w:ascii="仿宋_GB2312" w:hAnsi="仿宋_GB2312" w:cs="仿宋_GB2312" w:eastAsia="仿宋_GB2312"/>
                <w:sz w:val="24"/>
              </w:rPr>
              <w:t>投标人</w:t>
            </w:r>
            <w:r>
              <w:rPr>
                <w:rFonts w:ascii="仿宋_GB2312" w:hAnsi="仿宋_GB2312" w:cs="仿宋_GB2312" w:eastAsia="仿宋_GB2312"/>
                <w:sz w:val="24"/>
              </w:rPr>
              <w:t>应于项目完成之日起</w:t>
            </w:r>
            <w:r>
              <w:rPr>
                <w:rFonts w:ascii="仿宋_GB2312" w:hAnsi="仿宋_GB2312" w:cs="仿宋_GB2312" w:eastAsia="仿宋_GB2312"/>
                <w:sz w:val="24"/>
              </w:rPr>
              <w:t>30日内向</w:t>
            </w:r>
            <w:r>
              <w:rPr>
                <w:rFonts w:ascii="仿宋_GB2312" w:hAnsi="仿宋_GB2312" w:cs="仿宋_GB2312" w:eastAsia="仿宋_GB2312"/>
                <w:sz w:val="24"/>
              </w:rPr>
              <w:t>采购人</w:t>
            </w:r>
            <w:r>
              <w:rPr>
                <w:rFonts w:ascii="仿宋_GB2312" w:hAnsi="仿宋_GB2312" w:cs="仿宋_GB2312" w:eastAsia="仿宋_GB2312"/>
                <w:sz w:val="24"/>
              </w:rPr>
              <w:t>递交项目总结报告。包括：</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后台数据、页面截图等证明指标完成的资料；</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页面设计、帖文分析、传播效果报告；</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线上线下活动报告；</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）海外媒体发稿及广告投放报告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汇总整理涉及版权归</w:t>
            </w:r>
            <w:r>
              <w:rPr>
                <w:rFonts w:ascii="仿宋_GB2312" w:hAnsi="仿宋_GB2312" w:cs="仿宋_GB2312" w:eastAsia="仿宋_GB2312"/>
                <w:sz w:val="24"/>
              </w:rPr>
              <w:t>采购人</w:t>
            </w:r>
            <w:r>
              <w:rPr>
                <w:rFonts w:ascii="仿宋_GB2312" w:hAnsi="仿宋_GB2312" w:cs="仿宋_GB2312" w:eastAsia="仿宋_GB2312"/>
                <w:sz w:val="24"/>
              </w:rPr>
              <w:t>所有的各类图文视频，并提交存有上述资料的移动存储设备。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成效</w:t>
            </w:r>
          </w:p>
          <w:p>
            <w:pPr>
              <w:pStyle w:val="null3"/>
              <w:ind w:firstLine="480"/>
              <w:jc w:val="both"/>
            </w:pPr>
            <w:r>
              <w:rPr>
                <w:rFonts w:ascii="仿宋_GB2312" w:hAnsi="仿宋_GB2312" w:cs="仿宋_GB2312" w:eastAsia="仿宋_GB2312"/>
                <w:sz w:val="24"/>
              </w:rPr>
              <w:t>项目执行期内</w:t>
            </w:r>
            <w:r>
              <w:rPr>
                <w:rFonts w:ascii="仿宋_GB2312" w:hAnsi="仿宋_GB2312" w:cs="仿宋_GB2312" w:eastAsia="仿宋_GB2312"/>
                <w:sz w:val="24"/>
              </w:rPr>
              <w:t>，</w:t>
            </w:r>
            <w:r>
              <w:rPr>
                <w:rFonts w:ascii="仿宋_GB2312" w:hAnsi="仿宋_GB2312" w:cs="仿宋_GB2312" w:eastAsia="仿宋_GB2312"/>
                <w:sz w:val="24"/>
              </w:rPr>
              <w:t>承诺在</w:t>
            </w:r>
            <w:r>
              <w:rPr>
                <w:rFonts w:ascii="仿宋_GB2312" w:hAnsi="仿宋_GB2312" w:cs="仿宋_GB2312" w:eastAsia="仿宋_GB2312"/>
                <w:sz w:val="24"/>
              </w:rPr>
              <w:t>文旅产业指数实验室发布的</w:t>
            </w:r>
            <w:r>
              <w:rPr>
                <w:rFonts w:ascii="仿宋_GB2312" w:hAnsi="仿宋_GB2312" w:cs="仿宋_GB2312" w:eastAsia="仿宋_GB2312"/>
                <w:sz w:val="24"/>
              </w:rPr>
              <w:t>“全国省级文化和旅游新媒体国际传播力指数报告”等专业机构发布的综合排名前</w:t>
            </w:r>
            <w:r>
              <w:rPr>
                <w:rFonts w:ascii="仿宋_GB2312" w:hAnsi="仿宋_GB2312" w:cs="仿宋_GB2312" w:eastAsia="仿宋_GB2312"/>
                <w:sz w:val="24"/>
              </w:rPr>
              <w:t>10。</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交接</w:t>
            </w:r>
          </w:p>
          <w:p>
            <w:pPr>
              <w:pStyle w:val="null3"/>
              <w:ind w:firstLine="480"/>
              <w:jc w:val="both"/>
            </w:pPr>
            <w:r>
              <w:rPr>
                <w:rFonts w:ascii="仿宋_GB2312" w:hAnsi="仿宋_GB2312" w:cs="仿宋_GB2312" w:eastAsia="仿宋_GB2312"/>
                <w:sz w:val="24"/>
              </w:rPr>
              <w:t>承诺项目执行期结束后，免费顺延基础维护服务不少于</w:t>
            </w:r>
            <w:r>
              <w:rPr>
                <w:rFonts w:ascii="仿宋_GB2312" w:hAnsi="仿宋_GB2312" w:cs="仿宋_GB2312" w:eastAsia="仿宋_GB2312"/>
                <w:sz w:val="24"/>
              </w:rPr>
              <w:t>2个月，以确保在合同期满后至下一年度招标前账号安全。</w:t>
            </w:r>
          </w:p>
          <w:p>
            <w:pPr>
              <w:pStyle w:val="null3"/>
              <w:jc w:val="both"/>
            </w:pPr>
            <w:r>
              <w:rPr>
                <w:rFonts w:ascii="仿宋_GB2312" w:hAnsi="仿宋_GB2312" w:cs="仿宋_GB2312" w:eastAsia="仿宋_GB2312"/>
                <w:sz w:val="24"/>
                <w:b/>
              </w:rPr>
              <w:t>15.</w:t>
            </w:r>
            <w:r>
              <w:rPr>
                <w:rFonts w:ascii="仿宋_GB2312" w:hAnsi="仿宋_GB2312" w:cs="仿宋_GB2312" w:eastAsia="仿宋_GB2312"/>
                <w:sz w:val="24"/>
                <w:b/>
              </w:rPr>
              <w:t>该项目</w:t>
            </w:r>
            <w:r>
              <w:rPr>
                <w:rFonts w:ascii="仿宋_GB2312" w:hAnsi="仿宋_GB2312" w:cs="仿宋_GB2312" w:eastAsia="仿宋_GB2312"/>
                <w:sz w:val="24"/>
                <w:b/>
              </w:rPr>
              <w:t>不允许转包分包。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关键绩效指标</w:t>
            </w:r>
            <w:r>
              <w:rPr>
                <w:rFonts w:ascii="仿宋_GB2312" w:hAnsi="仿宋_GB2312" w:cs="仿宋_GB2312" w:eastAsia="仿宋_GB2312"/>
                <w:sz w:val="24"/>
              </w:rPr>
              <w:t>KPI</w:t>
            </w:r>
          </w:p>
          <w:tbl>
            <w:tblPr>
              <w:tblInd w:type="dxa" w:w="120"/>
              <w:tblBorders>
                <w:top w:val="none" w:color="000000" w:sz="4"/>
                <w:left w:val="none" w:color="000000" w:sz="4"/>
                <w:bottom w:val="none" w:color="000000" w:sz="4"/>
                <w:right w:val="none" w:color="000000" w:sz="4"/>
                <w:insideH w:val="none"/>
                <w:insideV w:val="none"/>
              </w:tblBorders>
            </w:tblPr>
            <w:tblGrid>
              <w:gridCol w:w="390"/>
              <w:gridCol w:w="273"/>
              <w:gridCol w:w="308"/>
              <w:gridCol w:w="304"/>
              <w:gridCol w:w="280"/>
              <w:gridCol w:w="336"/>
              <w:gridCol w:w="333"/>
              <w:gridCol w:w="329"/>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平台</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页面更新</w:t>
                  </w:r>
                  <w:r>
                    <w:rPr>
                      <w:rFonts w:ascii="仿宋_GB2312" w:hAnsi="仿宋_GB2312" w:cs="仿宋_GB2312" w:eastAsia="仿宋_GB2312"/>
                      <w:sz w:val="18"/>
                    </w:rPr>
                    <w:t>≥</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贴文</w:t>
                  </w:r>
                </w:p>
                <w:p>
                  <w:pPr>
                    <w:pStyle w:val="null3"/>
                    <w:jc w:val="left"/>
                  </w:pPr>
                  <w:r>
                    <w:rPr>
                      <w:rFonts w:ascii="仿宋_GB2312" w:hAnsi="仿宋_GB2312" w:cs="仿宋_GB2312" w:eastAsia="仿宋_GB2312"/>
                      <w:sz w:val="18"/>
                    </w:rPr>
                    <w:t>数量</w:t>
                  </w:r>
                </w:p>
                <w:p>
                  <w:pPr>
                    <w:pStyle w:val="null3"/>
                    <w:jc w:val="left"/>
                  </w:pPr>
                  <w:r>
                    <w:rPr>
                      <w:rFonts w:ascii="仿宋_GB2312" w:hAnsi="仿宋_GB2312" w:cs="仿宋_GB2312" w:eastAsia="仿宋_GB2312"/>
                      <w:sz w:val="18"/>
                    </w:rPr>
                    <w:t>≥</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粉丝</w:t>
                  </w:r>
                </w:p>
                <w:p>
                  <w:pPr>
                    <w:pStyle w:val="null3"/>
                    <w:jc w:val="left"/>
                  </w:pPr>
                  <w:r>
                    <w:rPr>
                      <w:rFonts w:ascii="仿宋_GB2312" w:hAnsi="仿宋_GB2312" w:cs="仿宋_GB2312" w:eastAsia="仿宋_GB2312"/>
                      <w:sz w:val="18"/>
                    </w:rPr>
                    <w:t>增长量</w:t>
                  </w:r>
                </w:p>
                <w:p>
                  <w:pPr>
                    <w:pStyle w:val="null3"/>
                    <w:jc w:val="left"/>
                  </w:pPr>
                  <w:r>
                    <w:rPr>
                      <w:rFonts w:ascii="仿宋_GB2312" w:hAnsi="仿宋_GB2312" w:cs="仿宋_GB2312" w:eastAsia="仿宋_GB2312"/>
                      <w:sz w:val="18"/>
                    </w:rPr>
                    <w:t>≥</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视频</w:t>
                  </w:r>
                </w:p>
                <w:p>
                  <w:pPr>
                    <w:pStyle w:val="null3"/>
                    <w:jc w:val="left"/>
                  </w:pPr>
                  <w:r>
                    <w:rPr>
                      <w:rFonts w:ascii="仿宋_GB2312" w:hAnsi="仿宋_GB2312" w:cs="仿宋_GB2312" w:eastAsia="仿宋_GB2312"/>
                      <w:sz w:val="18"/>
                    </w:rPr>
                    <w:t>观</w:t>
                  </w:r>
                  <w:r>
                    <w:rPr>
                      <w:rFonts w:ascii="仿宋_GB2312" w:hAnsi="仿宋_GB2312" w:cs="仿宋_GB2312" w:eastAsia="仿宋_GB2312"/>
                      <w:sz w:val="18"/>
                    </w:rPr>
                    <w:t>看</w:t>
                  </w:r>
                  <w:r>
                    <w:rPr>
                      <w:rFonts w:ascii="仿宋_GB2312" w:hAnsi="仿宋_GB2312" w:cs="仿宋_GB2312" w:eastAsia="仿宋_GB2312"/>
                      <w:sz w:val="18"/>
                    </w:rPr>
                    <w:t>量</w:t>
                  </w:r>
                </w:p>
                <w:p>
                  <w:pPr>
                    <w:pStyle w:val="null3"/>
                    <w:jc w:val="left"/>
                  </w:pPr>
                  <w:r>
                    <w:rPr>
                      <w:rFonts w:ascii="仿宋_GB2312" w:hAnsi="仿宋_GB2312" w:cs="仿宋_GB2312" w:eastAsia="仿宋_GB2312"/>
                      <w:sz w:val="18"/>
                    </w:rPr>
                    <w:t>≥</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互动</w:t>
                  </w:r>
                </w:p>
                <w:p>
                  <w:pPr>
                    <w:pStyle w:val="null3"/>
                    <w:jc w:val="left"/>
                  </w:pPr>
                  <w:r>
                    <w:rPr>
                      <w:rFonts w:ascii="仿宋_GB2312" w:hAnsi="仿宋_GB2312" w:cs="仿宋_GB2312" w:eastAsia="仿宋_GB2312"/>
                      <w:sz w:val="18"/>
                    </w:rPr>
                    <w:t>增长量</w:t>
                  </w:r>
                </w:p>
                <w:p>
                  <w:pPr>
                    <w:pStyle w:val="null3"/>
                    <w:jc w:val="left"/>
                  </w:pPr>
                  <w:r>
                    <w:rPr>
                      <w:rFonts w:ascii="仿宋_GB2312" w:hAnsi="仿宋_GB2312" w:cs="仿宋_GB2312" w:eastAsia="仿宋_GB2312"/>
                      <w:sz w:val="18"/>
                    </w:rPr>
                    <w:t>≥</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触及数</w:t>
                  </w:r>
                </w:p>
                <w:p>
                  <w:pPr>
                    <w:pStyle w:val="null3"/>
                    <w:jc w:val="left"/>
                  </w:pPr>
                  <w:r>
                    <w:rPr>
                      <w:rFonts w:ascii="仿宋_GB2312" w:hAnsi="仿宋_GB2312" w:cs="仿宋_GB2312" w:eastAsia="仿宋_GB2312"/>
                      <w:sz w:val="18"/>
                    </w:rPr>
                    <w:t>≥</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线上</w:t>
                  </w:r>
                </w:p>
                <w:p>
                  <w:pPr>
                    <w:pStyle w:val="null3"/>
                    <w:jc w:val="left"/>
                  </w:pPr>
                  <w:r>
                    <w:rPr>
                      <w:rFonts w:ascii="仿宋_GB2312" w:hAnsi="仿宋_GB2312" w:cs="仿宋_GB2312" w:eastAsia="仿宋_GB2312"/>
                      <w:sz w:val="18"/>
                    </w:rPr>
                    <w:t>活动</w:t>
                  </w:r>
                </w:p>
                <w:p>
                  <w:pPr>
                    <w:pStyle w:val="null3"/>
                    <w:jc w:val="left"/>
                  </w:pPr>
                  <w:r>
                    <w:rPr>
                      <w:rFonts w:ascii="仿宋_GB2312" w:hAnsi="仿宋_GB2312" w:cs="仿宋_GB2312" w:eastAsia="仿宋_GB2312"/>
                      <w:sz w:val="18"/>
                    </w:rPr>
                    <w:t>≥</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Facebook</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8万</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145万</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12场</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X</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1.2万</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15万</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4场</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Instagram</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14万</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140万</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12场</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YouTube</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Tiktok</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2.4万</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560万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线下活动</w:t>
                  </w:r>
                </w:p>
              </w:tc>
              <w:tc>
                <w:tcPr>
                  <w:tcW w:type="dxa" w:w="21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1场，投播触及数不少于200万，总互动量不少于5万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海外</w:t>
                  </w:r>
                  <w:r>
                    <w:rPr>
                      <w:rFonts w:ascii="仿宋_GB2312" w:hAnsi="仿宋_GB2312" w:cs="仿宋_GB2312" w:eastAsia="仿宋_GB2312"/>
                      <w:sz w:val="18"/>
                    </w:rPr>
                    <w:t>媒体公关发稿</w:t>
                  </w:r>
                </w:p>
              </w:tc>
              <w:tc>
                <w:tcPr>
                  <w:tcW w:type="dxa" w:w="21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篇</w:t>
                  </w:r>
                  <w:r>
                    <w:rPr>
                      <w:rFonts w:ascii="仿宋_GB2312" w:hAnsi="仿宋_GB2312" w:cs="仿宋_GB2312" w:eastAsia="仿宋_GB2312"/>
                      <w:sz w:val="18"/>
                    </w:rPr>
                    <w:t>，线上平均每篇不少于</w:t>
                  </w:r>
                  <w:r>
                    <w:rPr>
                      <w:rFonts w:ascii="仿宋_GB2312" w:hAnsi="仿宋_GB2312" w:cs="仿宋_GB2312" w:eastAsia="仿宋_GB2312"/>
                      <w:sz w:val="18"/>
                    </w:rPr>
                    <w:t>15</w:t>
                  </w:r>
                  <w:r>
                    <w:rPr>
                      <w:rFonts w:ascii="仿宋_GB2312" w:hAnsi="仿宋_GB2312" w:cs="仿宋_GB2312" w:eastAsia="仿宋_GB2312"/>
                      <w:sz w:val="18"/>
                    </w:rPr>
                    <w:t>0家国际网站刊登</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服务质量、服务标准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质量要求以本合同为准。本合同未涉及的服务质量、标准，以双方共同签字盖章认可的方案为准。方案中未涉及的合同服务的质量、服务标准按招标文件要求执行，如在招标文件中无相应说明，则按国家有关部门颁布的最新的国家有关部门标准执行，没有国家有关部门标准的，按行业标准和采购人要求执行。验收工作按合同要求标准执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）投标人承诺具有履行本合同的授权、资质和能力，投标人的履约行为不违反国家的法律和强制性规定。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）投标人知悉采购人的官方性质及信誉、影响力等主体特点，应消除来自各方面对采购人的不良影响。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在开展相关活动时造成安全事故、人身财产损失的，均由投标人承担相应责任与赔偿。由于投标人原因致使采购人卷入诉讼，采购人因诉讼产生的相关费用（包括但不限于赔偿金、诉讼费、律师代理费等）由投标人负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）服务项目执行内容需要调整时，经采购人同意后，可以对相应的项目局部进行调整。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知识产权</w:t>
            </w:r>
          </w:p>
          <w:p>
            <w:pPr>
              <w:pStyle w:val="null3"/>
              <w:ind w:firstLine="480"/>
              <w:jc w:val="both"/>
            </w:pPr>
            <w:r>
              <w:rPr>
                <w:rFonts w:ascii="仿宋_GB2312" w:hAnsi="仿宋_GB2312" w:cs="仿宋_GB2312" w:eastAsia="仿宋_GB2312"/>
                <w:sz w:val="24"/>
              </w:rPr>
              <w:t>投标人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pPr>
              <w:pStyle w:val="null3"/>
              <w:jc w:val="both"/>
            </w:pPr>
            <w:r>
              <w:rPr>
                <w:rFonts w:ascii="仿宋_GB2312" w:hAnsi="仿宋_GB2312" w:cs="仿宋_GB2312" w:eastAsia="仿宋_GB2312"/>
                <w:sz w:val="24"/>
              </w:rPr>
              <w:t>陕西省文化</w:t>
            </w:r>
            <w:r>
              <w:rPr>
                <w:rFonts w:ascii="仿宋_GB2312" w:hAnsi="仿宋_GB2312" w:cs="仿宋_GB2312" w:eastAsia="仿宋_GB2312"/>
                <w:sz w:val="24"/>
              </w:rPr>
              <w:t>和</w:t>
            </w:r>
            <w:r>
              <w:rPr>
                <w:rFonts w:ascii="仿宋_GB2312" w:hAnsi="仿宋_GB2312" w:cs="仿宋_GB2312" w:eastAsia="仿宋_GB2312"/>
                <w:sz w:val="24"/>
              </w:rPr>
              <w:t>旅游厅英文版境外社交媒体</w:t>
            </w:r>
            <w:r>
              <w:rPr>
                <w:rFonts w:ascii="仿宋_GB2312" w:hAnsi="仿宋_GB2312" w:cs="仿宋_GB2312" w:eastAsia="仿宋_GB2312"/>
                <w:sz w:val="24"/>
              </w:rPr>
              <w:t>Facebook、</w:t>
            </w:r>
            <w:r>
              <w:rPr>
                <w:rFonts w:ascii="仿宋_GB2312" w:hAnsi="仿宋_GB2312" w:cs="仿宋_GB2312" w:eastAsia="仿宋_GB2312"/>
                <w:sz w:val="24"/>
              </w:rPr>
              <w:t>X</w:t>
            </w:r>
            <w:r>
              <w:rPr>
                <w:rFonts w:ascii="仿宋_GB2312" w:hAnsi="仿宋_GB2312" w:cs="仿宋_GB2312" w:eastAsia="仿宋_GB2312"/>
                <w:sz w:val="24"/>
              </w:rPr>
              <w:t>、</w:t>
            </w:r>
            <w:r>
              <w:rPr>
                <w:rFonts w:ascii="仿宋_GB2312" w:hAnsi="仿宋_GB2312" w:cs="仿宋_GB2312" w:eastAsia="仿宋_GB2312"/>
                <w:sz w:val="24"/>
              </w:rPr>
              <w:t>Instagram、</w:t>
            </w:r>
            <w:r>
              <w:rPr>
                <w:rFonts w:ascii="仿宋_GB2312" w:hAnsi="仿宋_GB2312" w:cs="仿宋_GB2312" w:eastAsia="仿宋_GB2312"/>
                <w:sz w:val="24"/>
              </w:rPr>
              <w:t>Youtube、Tiktok</w:t>
            </w:r>
            <w:r>
              <w:rPr>
                <w:rFonts w:ascii="仿宋_GB2312" w:hAnsi="仿宋_GB2312" w:cs="仿宋_GB2312" w:eastAsia="仿宋_GB2312"/>
                <w:sz w:val="24"/>
              </w:rPr>
              <w:t>官方账户用户名、密码、用户个人资料数据库等与本合同相关的一切知识产权和所有权归采购人所有。投标人不得以其他任何方式侵犯采购人商业秘密。若投标人侵犯采购人的知识产权或商业秘密，则应赔偿给采购人造成的一切损失，并支付合同总价</w:t>
            </w:r>
            <w:r>
              <w:rPr>
                <w:rFonts w:ascii="仿宋_GB2312" w:hAnsi="仿宋_GB2312" w:cs="仿宋_GB2312" w:eastAsia="仿宋_GB2312"/>
                <w:sz w:val="24"/>
              </w:rPr>
              <w:t>5％的违约金。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服务期：项目开始实施之日至2025年12月31日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合同签订后，成交供应商向陕西省文化和旅游厅开具项目总金额40%的发票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关键绩效指标KPI各项指标完成80%，成交供应商向陕西省文化和旅游厅开具项目总金额60%的发票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 响应文件，同时，线下提交纸质响应文件正本壹份、副本贰份。 2、纸质响应文件正、副本分别胶装，标明供应商名称密封递 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　《政府采购促进中小企业发展管理办法》的通知一财库(2020)46号; ②　财政部司法部关于政府采购支持监狱企业发展有关问题的通知一财库[2014]68号; ③　《财政部发展改革委生态环境部市场监管总局关于调整优化节能产品环境标志产品政府采购执行机制的通知》(财库(2019)9号); ④　《关于促进残疾人就业政府采购政策的通知》(财库[2017]141号); ⑤　《陕西省财政厅关于加快推进我省中小企业政府采购信用融资工作的通知》(陕财办采(2020)15 号): ⑥　《陕西省中小企业政府采购信用融资办法》陕财办采(2018)23号; ⑦　《关于运用政府采购政策支持乡村产业振兴的通知》(财库(2021)19 号); ⑧　《关于进一步加大政府采购支持中小企业力度的通知》(财库(2022)19号); ⑨　《陕西省财政厅关于进一步落实政府采购支持中小企业相关政策的通知》(陕财办采(2023)3号); ⑩　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供应商认为有必要说明的问题.docx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响应函 供应商认为有必要说明的问题.docx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官方账号维护管理</w:t>
            </w:r>
          </w:p>
        </w:tc>
        <w:tc>
          <w:tcPr>
            <w:tcW w:type="dxa" w:w="2492"/>
          </w:tcPr>
          <w:p>
            <w:pPr>
              <w:pStyle w:val="null3"/>
            </w:pPr>
            <w:r>
              <w:rPr>
                <w:rFonts w:ascii="仿宋_GB2312" w:hAnsi="仿宋_GB2312" w:cs="仿宋_GB2312" w:eastAsia="仿宋_GB2312"/>
              </w:rPr>
              <w:t>根据供应商针对本项目提供Facebook /Twitter/Instagram/Youtube/Tiktok官方账号维护管理，针对五大平台的不同特点，对五大平台境外社交媒体宣传推广分别进行重点、难点分析，分别制定有特色的内容创意及策划方案。包含：①重点难点的理解；②内容创意及策划方案。满分14分。每有一项缺项扣7分；每有一处内容存在缺陷，扣3.5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详细评审---官方账号维护管理.docx</w:t>
            </w:r>
          </w:p>
        </w:tc>
      </w:tr>
      <w:tr>
        <w:tc>
          <w:tcPr>
            <w:tcW w:type="dxa" w:w="831"/>
            <w:vMerge/>
          </w:tcPr>
          <w:p/>
        </w:tc>
        <w:tc>
          <w:tcPr>
            <w:tcW w:type="dxa" w:w="1661"/>
          </w:tcPr>
          <w:p>
            <w:pPr>
              <w:pStyle w:val="null3"/>
            </w:pPr>
            <w:r>
              <w:rPr>
                <w:rFonts w:ascii="仿宋_GB2312" w:hAnsi="仿宋_GB2312" w:cs="仿宋_GB2312" w:eastAsia="仿宋_GB2312"/>
              </w:rPr>
              <w:t>线上活动策划与执行能力</w:t>
            </w:r>
          </w:p>
        </w:tc>
        <w:tc>
          <w:tcPr>
            <w:tcW w:type="dxa" w:w="2492"/>
          </w:tcPr>
          <w:p>
            <w:pPr>
              <w:pStyle w:val="null3"/>
            </w:pPr>
            <w:r>
              <w:rPr>
                <w:rFonts w:ascii="仿宋_GB2312" w:hAnsi="仿宋_GB2312" w:cs="仿宋_GB2312" w:eastAsia="仿宋_GB2312"/>
              </w:rPr>
              <w:t>供应商针对本项目提供Facebook /Twitter/Instagram线上活动策划与执行能力，线上活动充分利用三大平台的优势并进行联动；运用其他线上平台及与相关机构社交媒体平台互动合作，方案包含：①活动名称、内容、策划亮点、应用程序开发及页面设计（如涉及）；②活动规则、配套活动帖文撰写发布、意见领袖组织使用；③视频制作、奖品、预估效果等。满分12分。每有一项缺项扣4分；每有一处内容存在缺陷，扣2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详细评审---线上活动策划与执行能力.docx</w:t>
            </w:r>
          </w:p>
        </w:tc>
      </w:tr>
      <w:tr>
        <w:tc>
          <w:tcPr>
            <w:tcW w:type="dxa" w:w="831"/>
            <w:vMerge/>
          </w:tcPr>
          <w:p/>
        </w:tc>
        <w:tc>
          <w:tcPr>
            <w:tcW w:type="dxa" w:w="1661"/>
          </w:tcPr>
          <w:p>
            <w:pPr>
              <w:pStyle w:val="null3"/>
            </w:pPr>
            <w:r>
              <w:rPr>
                <w:rFonts w:ascii="仿宋_GB2312" w:hAnsi="仿宋_GB2312" w:cs="仿宋_GB2312" w:eastAsia="仿宋_GB2312"/>
              </w:rPr>
              <w:t>线下活动策划与执行能力</w:t>
            </w:r>
          </w:p>
        </w:tc>
        <w:tc>
          <w:tcPr>
            <w:tcW w:type="dxa" w:w="2492"/>
          </w:tcPr>
          <w:p>
            <w:pPr>
              <w:pStyle w:val="null3"/>
            </w:pPr>
            <w:r>
              <w:rPr>
                <w:rFonts w:ascii="仿宋_GB2312" w:hAnsi="仿宋_GB2312" w:cs="仿宋_GB2312" w:eastAsia="仿宋_GB2312"/>
              </w:rPr>
              <w:t>供应商针对本项目提供线下活动策划及线上线下活动整合互动能力， 线下活动具有互联网传播性，线上与线下活动主题性一致、线上线下活动互动紧密、方案创意新颖、内容丰富、可行性强，策划具有传播热点、体现陕西文化和旅游特色的线下活动，活动应具有全球性主题事件营销效果。具体方案至少包含：①活动名称、时间、地点、场地布置；②人员组织实施、策划亮点、内容、议程、道具、奖金（奖品）；③现场拍摄（照片和摄影）、视频制作；④与线上活动关联度、预估效果等。满分12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详细评审---线下活动策划与执行能力.docx</w:t>
            </w:r>
          </w:p>
        </w:tc>
      </w:tr>
      <w:tr>
        <w:tc>
          <w:tcPr>
            <w:tcW w:type="dxa" w:w="831"/>
            <w:vMerge/>
          </w:tcPr>
          <w:p/>
        </w:tc>
        <w:tc>
          <w:tcPr>
            <w:tcW w:type="dxa" w:w="1661"/>
          </w:tcPr>
          <w:p>
            <w:pPr>
              <w:pStyle w:val="null3"/>
            </w:pPr>
            <w:r>
              <w:rPr>
                <w:rFonts w:ascii="仿宋_GB2312" w:hAnsi="仿宋_GB2312" w:cs="仿宋_GB2312" w:eastAsia="仿宋_GB2312"/>
              </w:rPr>
              <w:t>海外媒体发稿及账号广告投放</w:t>
            </w:r>
          </w:p>
        </w:tc>
        <w:tc>
          <w:tcPr>
            <w:tcW w:type="dxa" w:w="2492"/>
          </w:tcPr>
          <w:p>
            <w:pPr>
              <w:pStyle w:val="null3"/>
            </w:pPr>
            <w:r>
              <w:rPr>
                <w:rFonts w:ascii="仿宋_GB2312" w:hAnsi="仿宋_GB2312" w:cs="仿宋_GB2312" w:eastAsia="仿宋_GB2312"/>
              </w:rPr>
              <w:t>供应商针对本项目提供海外媒体发稿及账号广告投放方案，配合线上活动和采购人举办的大型境外宣传活动，进行国际主流媒体公关，内容至少包含：①海外媒体发稿；②账号广告投放引流；满分10分。每有一项缺项扣5分；每有一处内容存在缺陷，扣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详细评审---海外媒体发稿及账号广告投放.docx</w:t>
            </w:r>
          </w:p>
        </w:tc>
      </w:tr>
      <w:tr>
        <w:tc>
          <w:tcPr>
            <w:tcW w:type="dxa" w:w="831"/>
            <w:vMerge/>
          </w:tcPr>
          <w:p/>
        </w:tc>
        <w:tc>
          <w:tcPr>
            <w:tcW w:type="dxa" w:w="1661"/>
          </w:tcPr>
          <w:p>
            <w:pPr>
              <w:pStyle w:val="null3"/>
            </w:pPr>
            <w:r>
              <w:rPr>
                <w:rFonts w:ascii="仿宋_GB2312" w:hAnsi="仿宋_GB2312" w:cs="仿宋_GB2312" w:eastAsia="仿宋_GB2312"/>
              </w:rPr>
              <w:t>危机管理</w:t>
            </w:r>
          </w:p>
        </w:tc>
        <w:tc>
          <w:tcPr>
            <w:tcW w:type="dxa" w:w="2492"/>
          </w:tcPr>
          <w:p>
            <w:pPr>
              <w:pStyle w:val="null3"/>
            </w:pPr>
            <w:r>
              <w:rPr>
                <w:rFonts w:ascii="仿宋_GB2312" w:hAnsi="仿宋_GB2312" w:cs="仿宋_GB2312" w:eastAsia="仿宋_GB2312"/>
              </w:rPr>
              <w:t>供应商针对本项目提供危机管理方案，方案至少包含：①网络安全、评论管理及危机公关；②负面影响的危机事件处理。满分10分。每有一项缺项扣5分；每有一处内容存在缺陷，扣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详细评审---危机管理.docx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1.供应商具备Meta（Facebook，Instagram） 、Twitter、Google（Youtube）等平台的相关代理证明材料，每提供1份代理证明材料得2分，最多6分。相关代理资格证明文件需由供应商直接取得，通过子公司或者母公司间接取得的不得分。 2.供应商具备官方认可的可接入海外社交媒体平台并运营账号的相关证明和权限，保证海外传播的安全、有效。具备相关权限并提供证明文件得2分，否则不得分。相关代理资格证明文件需由供应商直接取得，通过子公司或者母公司间接取得的不得分。 3.供应商在英语为母语或官方语言的国家或地区有办事处或海外分支机构得2分，否则不得分，相关证明文件需由供应商直接取得，通过子公司或者母公司间接取得的不得分。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详细评审---保障措施.docx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供应商提供针对本项目拟投入工作人员配备（包含项目负责人）的情况说明及经验能力证明材料。方案包括：（1）职责任务、分工明确；（2）服务人员具有专业技术能力（提供有效的证明材料）。满分4分。每有一项缺项扣2分；每有一处内容存在缺陷，扣1分，扣完为止。备注：缺陷是指内容不合理、虽有内容但不完善、内容表述前后不一致、套用其他项目方案或与项目需求不匹配及其他不利于项目实施的等任意一种情形。 2.供应商应为本项目成立专门的运营团队，团队成员需具备Google（覆盖Youtube）、Facebook（覆盖Instagram）、Twitter等相关平台认证的从业证明，每满足一项得2分，满分6分。 3.供应商为本项目配备母语为英语的外籍工作人员执行团队，提供相关外籍人员的就业证明，每提供一个得2分，满分4分。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提供供应商自2021年1月1日至今(以合同签订日期为准)同类项目业绩合同，每份计2分，满分8分。 注：需提供项目完整合同扫描件，加盖公章。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详见附件：详细评审---保障措施.docx</w:t>
      </w:r>
    </w:p>
    <w:p>
      <w:pPr>
        <w:pStyle w:val="null3"/>
        <w:ind w:firstLine="960"/>
      </w:pPr>
      <w:r>
        <w:rPr>
          <w:rFonts w:ascii="仿宋_GB2312" w:hAnsi="仿宋_GB2312" w:cs="仿宋_GB2312" w:eastAsia="仿宋_GB2312"/>
        </w:rPr>
        <w:t>详见附件：详细评审---官方账号维护管理.docx</w:t>
      </w:r>
    </w:p>
    <w:p>
      <w:pPr>
        <w:pStyle w:val="null3"/>
        <w:ind w:firstLine="960"/>
      </w:pPr>
      <w:r>
        <w:rPr>
          <w:rFonts w:ascii="仿宋_GB2312" w:hAnsi="仿宋_GB2312" w:cs="仿宋_GB2312" w:eastAsia="仿宋_GB2312"/>
        </w:rPr>
        <w:t>详见附件：详细评审---海外媒体发稿及账号广告投放.docx</w:t>
      </w:r>
    </w:p>
    <w:p>
      <w:pPr>
        <w:pStyle w:val="null3"/>
        <w:ind w:firstLine="960"/>
      </w:pPr>
      <w:r>
        <w:rPr>
          <w:rFonts w:ascii="仿宋_GB2312" w:hAnsi="仿宋_GB2312" w:cs="仿宋_GB2312" w:eastAsia="仿宋_GB2312"/>
        </w:rPr>
        <w:t>详见附件：详细评审---人员配置.docx</w:t>
      </w:r>
    </w:p>
    <w:p>
      <w:pPr>
        <w:pStyle w:val="null3"/>
        <w:ind w:firstLine="960"/>
      </w:pPr>
      <w:r>
        <w:rPr>
          <w:rFonts w:ascii="仿宋_GB2312" w:hAnsi="仿宋_GB2312" w:cs="仿宋_GB2312" w:eastAsia="仿宋_GB2312"/>
        </w:rPr>
        <w:t>详见附件：详细评审---危机管理.docx</w:t>
      </w:r>
    </w:p>
    <w:p>
      <w:pPr>
        <w:pStyle w:val="null3"/>
        <w:ind w:firstLine="960"/>
      </w:pPr>
      <w:r>
        <w:rPr>
          <w:rFonts w:ascii="仿宋_GB2312" w:hAnsi="仿宋_GB2312" w:cs="仿宋_GB2312" w:eastAsia="仿宋_GB2312"/>
        </w:rPr>
        <w:t>详见附件：详细评审---线上活动策划与执行能力.docx</w:t>
      </w:r>
    </w:p>
    <w:p>
      <w:pPr>
        <w:pStyle w:val="null3"/>
        <w:ind w:firstLine="960"/>
      </w:pPr>
      <w:r>
        <w:rPr>
          <w:rFonts w:ascii="仿宋_GB2312" w:hAnsi="仿宋_GB2312" w:cs="仿宋_GB2312" w:eastAsia="仿宋_GB2312"/>
        </w:rPr>
        <w:t>详见附件：详细评审---线下活动策划与执行能力.docx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