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版本号：0617-2521FZ157420250701001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新舟60增雨飞机托管服务采购项目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0617-2521FZ1574</w:t>
      </w:r>
      <w:r>
        <w:br/>
      </w:r>
      <w:r>
        <w:br/>
      </w:r>
      <w:r>
        <w:br/>
      </w:r>
    </w:p>
    <w:p>
      <w:pPr>
        <w:pStyle w:val="null3"/>
        <w:jc w:val="center"/>
        <w:outlineLvl w:val="2"/>
      </w:pPr>
      <w:r>
        <w:rPr>
          <w:rFonts w:ascii="仿宋_GB2312" w:hAnsi="仿宋_GB2312" w:cs="仿宋_GB2312" w:eastAsia="仿宋_GB2312"/>
          <w:sz w:val="28"/>
          <w:b/>
        </w:rPr>
        <w:t>人工影响天气办公室</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人工影响天气办公室</w:t>
      </w:r>
      <w:r>
        <w:rPr>
          <w:rFonts w:ascii="仿宋_GB2312" w:hAnsi="仿宋_GB2312" w:cs="仿宋_GB2312" w:eastAsia="仿宋_GB2312"/>
        </w:rPr>
        <w:t>委托，拟对</w:t>
      </w:r>
      <w:r>
        <w:rPr>
          <w:rFonts w:ascii="仿宋_GB2312" w:hAnsi="仿宋_GB2312" w:cs="仿宋_GB2312" w:eastAsia="仿宋_GB2312"/>
        </w:rPr>
        <w:t>新舟60增雨飞机托管服务采购项目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0617-2521FZ1574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新舟60增雨飞机托管服务采购项目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该项目所属飞机是国家发改委立项支持，是西北区域人工影响天气工程交付陕西的高性能（新舟60）增雨飞机。为做好高性能增雨飞机的运行管理工作，陕西省人工影响天气中心（以下简称采购人）结合陕西人影业务特点，在前期托管服务运行基础上，将组织飞机托管公司（以下简称供应商）进行飞机托管服务的招标工作，做好该新舟60高性能增雨飞机的日常业务运行管理工作，确保增雨飞机安全、高效、高质量地运行。本项目的费用包括满足托管服务技术需求的飞机基本托管服务费、航耗材费、160小时飞行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1、投标人特定资格条件：（1）提供民航部门颁发的通用航空企业经营许可证，经营范围中包含人工影响天气或人工降水； （2）提供中国民用航空局颁发的CCAR-91部运行合格证和CCAR-145部维修单位许可证。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人工影响天气办公室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陕西省人工影响天气中心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029-81619395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崔浩、宋鹏飞、张喆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029-85239900、89651851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开户名称：西北（陕西）国际招标有限公司</w:t>
            </w:r>
          </w:p>
          <w:p>
            <w:pPr>
              <w:pStyle w:val="null3"/>
            </w:pPr>
            <w:r>
              <w:rPr>
                <w:rFonts w:ascii="仿宋_GB2312" w:hAnsi="仿宋_GB2312" w:cs="仿宋_GB2312" w:eastAsia="仿宋_GB2312"/>
              </w:rPr>
              <w:t>开户银行：交通银行西安长安大学支行</w:t>
            </w:r>
          </w:p>
          <w:p>
            <w:pPr>
              <w:pStyle w:val="null3"/>
            </w:pPr>
            <w:r>
              <w:rPr>
                <w:rFonts w:ascii="仿宋_GB2312" w:hAnsi="仿宋_GB2312" w:cs="仿宋_GB2312" w:eastAsia="仿宋_GB2312"/>
              </w:rPr>
              <w:t>银行账号：611301151018010003843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机构参照国家计委关于印发《招标代理服务收费管理暂行办法》的通知（计价格〔2002〕1980号）、《国家发展和改革委员会办公厅关于招标代理服务收费有关问题的通知》（发改办价格〔2003〕857号）规定标准向中标人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人工影响天气办公室</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人工影响天气办公室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人工影响天气办公室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详见合同内容</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联系人：田凯</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所属飞机是国家发改委立项支持，是西北区域人工影响天气工程交付陕西的高性能（新舟60）增雨飞机。为做好高性能增雨飞机的运行管理工作，陕西省人工影响天气中心（以下简称采购人）结合陕西人影业务特点，在前期托管服务运行基础上，将组织飞机托管公司（以下简称供应商）进行飞机托管服务的招标工作，做好该新舟60高性能增雨飞机的日常业务运行管理工作，确保增雨飞机安全、高效、高质量地运行。本项目的费用包括满足托管服务技术需求的飞机基本托管服务费、航耗材费、160小时飞行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5,670,000.00</w:t>
      </w:r>
    </w:p>
    <w:p>
      <w:pPr>
        <w:pStyle w:val="null3"/>
      </w:pPr>
      <w:r>
        <w:rPr>
          <w:rFonts w:ascii="仿宋_GB2312" w:hAnsi="仿宋_GB2312" w:cs="仿宋_GB2312" w:eastAsia="仿宋_GB2312"/>
        </w:rPr>
        <w:t>采购包最高限价（元）: 5,670,000.00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新舟60增雨飞机托管服务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交通运输业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标的名称：新舟60增雨飞机托管服务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一、招标内容一览表：</w:t>
            </w:r>
          </w:p>
          <w:tbl>
            <w:tblPr>
              <w:tblInd w:type="dxa" w:w="135"/>
              <w:tblBorders>
                <w:top w:val="none" w:color="000000" w:sz="4"/>
                <w:left w:val="none" w:color="000000" w:sz="4"/>
                <w:bottom w:val="none" w:color="000000" w:sz="4"/>
                <w:right w:val="none" w:color="000000" w:sz="4"/>
                <w:insideH w:val="none"/>
                <w:insideV w:val="none"/>
              </w:tblBorders>
            </w:tblPr>
            <w:tblGrid>
              <w:gridCol w:w="981"/>
              <w:gridCol w:w="1031"/>
              <w:gridCol w:w="478"/>
            </w:tblGrid>
            <w:tr>
              <w:tc>
                <w:tcPr>
                  <w:tcW w:type="dxa" w:w="98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服务名称</w:t>
                  </w:r>
                </w:p>
              </w:tc>
              <w:tc>
                <w:tcPr>
                  <w:tcW w:type="dxa" w:w="103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服务期限</w:t>
                  </w:r>
                </w:p>
              </w:tc>
              <w:tc>
                <w:tcPr>
                  <w:tcW w:type="dxa" w:w="4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服务地点</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103"/>
                    <w:jc w:val="center"/>
                  </w:pPr>
                  <w:r>
                    <w:rPr>
                      <w:rFonts w:ascii="仿宋_GB2312" w:hAnsi="仿宋_GB2312" w:cs="仿宋_GB2312" w:eastAsia="仿宋_GB2312"/>
                      <w:sz w:val="21"/>
                      <w:b/>
                    </w:rPr>
                    <w:t>新舟60增雨飞机托管服务</w:t>
                  </w:r>
                  <w:r>
                    <w:rPr>
                      <w:rFonts w:ascii="仿宋_GB2312" w:hAnsi="仿宋_GB2312" w:cs="仿宋_GB2312" w:eastAsia="仿宋_GB2312"/>
                      <w:sz w:val="21"/>
                    </w:rPr>
                    <w:t>采购</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年</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103"/>
                    <w:jc w:val="center"/>
                  </w:pPr>
                  <w:r>
                    <w:rPr>
                      <w:rFonts w:ascii="仿宋_GB2312" w:hAnsi="仿宋_GB2312" w:cs="仿宋_GB2312" w:eastAsia="仿宋_GB2312"/>
                      <w:sz w:val="21"/>
                    </w:rPr>
                    <w:t>采购人指定地点</w:t>
                  </w:r>
                </w:p>
              </w:tc>
            </w:tr>
          </w:tbl>
          <w:p>
            <w:pPr>
              <w:pStyle w:val="null3"/>
              <w:jc w:val="both"/>
            </w:pPr>
            <w:r>
              <w:rPr>
                <w:rFonts w:ascii="仿宋_GB2312" w:hAnsi="仿宋_GB2312" w:cs="仿宋_GB2312" w:eastAsia="仿宋_GB2312"/>
                <w:sz w:val="24"/>
                <w:b/>
              </w:rPr>
              <w:t>二、技术规范</w:t>
            </w:r>
          </w:p>
          <w:p>
            <w:pPr>
              <w:pStyle w:val="null3"/>
              <w:jc w:val="both"/>
            </w:pPr>
            <w:r>
              <w:rPr>
                <w:rFonts w:ascii="仿宋_GB2312" w:hAnsi="仿宋_GB2312" w:cs="仿宋_GB2312" w:eastAsia="仿宋_GB2312"/>
                <w:sz w:val="24"/>
                <w:b/>
              </w:rPr>
              <w:t>（一）项目简介</w:t>
            </w:r>
          </w:p>
          <w:p>
            <w:pPr>
              <w:pStyle w:val="null3"/>
              <w:ind w:firstLine="480"/>
              <w:jc w:val="both"/>
            </w:pPr>
            <w:r>
              <w:rPr>
                <w:rFonts w:ascii="仿宋_GB2312" w:hAnsi="仿宋_GB2312" w:cs="仿宋_GB2312" w:eastAsia="仿宋_GB2312"/>
                <w:sz w:val="24"/>
              </w:rPr>
              <w:t>该项目所属飞机是国家发改委立项支持，是西北区域人工影响天气工程交付陕西的高性能（新舟60）增雨飞机。为做好高性能增雨飞机的运行管理工作，陕西省人工影响天气中心（以下简称采购人）结合陕西人影业务特点，在前期托管服务运行基础上，将组织飞机托管公司（以下简称供应商）进行飞机托管服务的招标工作，做好该新舟60高性能增雨飞机的日常业务运行管理工作，确保增雨飞机安全、高效、高质量地运行。本项目的费用包括满足托管服务技术需求的飞机基本托管服务费、航耗材费、160小时飞行费。</w:t>
            </w:r>
          </w:p>
          <w:p>
            <w:pPr>
              <w:pStyle w:val="null3"/>
              <w:jc w:val="both"/>
            </w:pPr>
            <w:r>
              <w:rPr>
                <w:rFonts w:ascii="仿宋_GB2312" w:hAnsi="仿宋_GB2312" w:cs="仿宋_GB2312" w:eastAsia="仿宋_GB2312"/>
                <w:sz w:val="24"/>
                <w:b/>
              </w:rPr>
              <w:t>（二）托管服务技术需求</w:t>
            </w:r>
          </w:p>
          <w:p>
            <w:pPr>
              <w:pStyle w:val="null3"/>
              <w:ind w:firstLine="420"/>
              <w:jc w:val="both"/>
            </w:pPr>
            <w:r>
              <w:rPr>
                <w:rFonts w:ascii="仿宋_GB2312" w:hAnsi="仿宋_GB2312" w:cs="仿宋_GB2312" w:eastAsia="仿宋_GB2312"/>
                <w:sz w:val="21"/>
              </w:rPr>
              <w:t xml:space="preserve"> </w:t>
            </w:r>
            <w:r>
              <w:rPr>
                <w:rFonts w:ascii="仿宋_GB2312" w:hAnsi="仿宋_GB2312" w:cs="仿宋_GB2312" w:eastAsia="仿宋_GB2312"/>
                <w:sz w:val="24"/>
              </w:rPr>
              <w:t>1</w:t>
            </w:r>
            <w:r>
              <w:rPr>
                <w:rFonts w:ascii="仿宋_GB2312" w:hAnsi="仿宋_GB2312" w:cs="仿宋_GB2312" w:eastAsia="仿宋_GB2312"/>
                <w:sz w:val="24"/>
              </w:rPr>
              <w:t>、人员资质</w:t>
            </w:r>
          </w:p>
          <w:p>
            <w:pPr>
              <w:pStyle w:val="null3"/>
              <w:ind w:firstLine="480"/>
              <w:jc w:val="both"/>
            </w:pPr>
            <w:r>
              <w:rPr>
                <w:rFonts w:ascii="仿宋_GB2312" w:hAnsi="仿宋_GB2312" w:cs="仿宋_GB2312" w:eastAsia="仿宋_GB2312"/>
                <w:sz w:val="24"/>
              </w:rPr>
              <w:t>供应商必须提供具有商用驾驶员执照（Ⅻ等级有“飞机多发陆地”和“仪表-飞机”、航空器型号有“MA60”）的飞行人员2名，并且至少1名飞行人员均具有该机型的机长资质；供应商须提供5名机务，其中至少提供1-2名具有MA60机型的放行资质；提供常驻签派人员1名；上述人员需保证一直跟随飞机开展飞行任务；大型活动保障以及科研探测时，根据任务需求，供应商必须保证相应人员保障，拥有相关航线维护工具以及航材。</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、飞机基本维护要求</w:t>
            </w:r>
          </w:p>
          <w:p>
            <w:pPr>
              <w:pStyle w:val="null3"/>
              <w:numPr>
                <w:ilvl w:val="0"/>
                <w:numId w:val="1"/>
              </w:numPr>
              <w:ind w:left="615"/>
              <w:jc w:val="both"/>
            </w:pPr>
            <w:r>
              <w:rPr>
                <w:rFonts w:ascii="仿宋_GB2312" w:hAnsi="仿宋_GB2312" w:cs="仿宋_GB2312" w:eastAsia="仿宋_GB2312"/>
                <w:sz w:val="24"/>
              </w:rPr>
              <w:t>供应商负责增雨飞机的飞行作业、机务维护、飞机保洁、安全运行、日常管理，并制定相应的程序、规定，承担安全责任和适航责任。供应商按中国民航的适航法规，制订飞机全年维修（含定检）计划并及时通报给采购人，按时完成飞机定检、维修与管理。当飞机需要大修、定检或定期维护时，供应商应提前告知采购人并且合理安排。</w:t>
            </w:r>
          </w:p>
          <w:p>
            <w:pPr>
              <w:pStyle w:val="null3"/>
              <w:numPr>
                <w:ilvl w:val="0"/>
                <w:numId w:val="1"/>
              </w:numPr>
              <w:ind w:left="615"/>
              <w:jc w:val="both"/>
            </w:pPr>
            <w:r>
              <w:rPr>
                <w:rFonts w:ascii="仿宋_GB2312" w:hAnsi="仿宋_GB2312" w:cs="仿宋_GB2312" w:eastAsia="仿宋_GB2312"/>
                <w:sz w:val="24"/>
              </w:rPr>
              <w:t>供应商对飞机的质量进行检查并按规定程序对飞机开展定检工作，确保飞机的适航状态，如有质量问题，需及时向采购人提出，代表采购人向飞机制造公司以及改装公司提出，并协商制定解决方案，直至问题的解决。</w:t>
            </w:r>
          </w:p>
          <w:p>
            <w:pPr>
              <w:pStyle w:val="null3"/>
              <w:numPr>
                <w:ilvl w:val="0"/>
                <w:numId w:val="1"/>
              </w:numPr>
              <w:ind w:left="615"/>
              <w:jc w:val="both"/>
            </w:pPr>
            <w:r>
              <w:rPr>
                <w:rFonts w:ascii="仿宋_GB2312" w:hAnsi="仿宋_GB2312" w:cs="仿宋_GB2312" w:eastAsia="仿宋_GB2312"/>
                <w:sz w:val="24"/>
              </w:rPr>
              <w:t>飞机维修（含定检）的航材及相应工具的购置、供应和管理。其中：</w:t>
            </w:r>
          </w:p>
          <w:p>
            <w:pPr>
              <w:pStyle w:val="null3"/>
              <w:numPr>
                <w:ilvl w:val="0"/>
                <w:numId w:val="2"/>
              </w:numPr>
              <w:ind w:left="720"/>
              <w:jc w:val="both"/>
            </w:pPr>
            <w:r>
              <w:rPr>
                <w:rFonts w:ascii="仿宋_GB2312" w:hAnsi="仿宋_GB2312" w:cs="仿宋_GB2312" w:eastAsia="仿宋_GB2312"/>
                <w:sz w:val="24"/>
              </w:rPr>
              <w:t>1200FH/12M/1600</w:t>
            </w:r>
            <w:r>
              <w:rPr>
                <w:rFonts w:ascii="仿宋_GB2312" w:hAnsi="仿宋_GB2312" w:cs="仿宋_GB2312" w:eastAsia="仿宋_GB2312"/>
                <w:sz w:val="24"/>
              </w:rPr>
              <w:t>起落（含）及以下级别定检例行航材及定检工时费用由供应商承担；</w:t>
            </w:r>
          </w:p>
          <w:p>
            <w:pPr>
              <w:pStyle w:val="null3"/>
              <w:numPr>
                <w:ilvl w:val="0"/>
                <w:numId w:val="2"/>
              </w:numPr>
              <w:ind w:left="720"/>
              <w:jc w:val="both"/>
            </w:pPr>
            <w:r>
              <w:rPr>
                <w:rFonts w:ascii="仿宋_GB2312" w:hAnsi="仿宋_GB2312" w:cs="仿宋_GB2312" w:eastAsia="仿宋_GB2312"/>
                <w:sz w:val="24"/>
              </w:rPr>
              <w:t>1200FH/12M/1600</w:t>
            </w:r>
            <w:r>
              <w:rPr>
                <w:rFonts w:ascii="仿宋_GB2312" w:hAnsi="仿宋_GB2312" w:cs="仿宋_GB2312" w:eastAsia="仿宋_GB2312"/>
                <w:sz w:val="24"/>
              </w:rPr>
              <w:t>起落以上级别定检航材及定检工时费用和定检工作中出现的非例行航材、修理、工时等费用由</w:t>
            </w:r>
            <w:r>
              <w:rPr>
                <w:rFonts w:ascii="仿宋_GB2312" w:hAnsi="仿宋_GB2312" w:cs="仿宋_GB2312" w:eastAsia="仿宋_GB2312"/>
                <w:sz w:val="24"/>
              </w:rPr>
              <w:t>报价中航耗材费用中支出，超出航耗材费用部分由</w:t>
            </w:r>
            <w:r>
              <w:rPr>
                <w:rFonts w:ascii="仿宋_GB2312" w:hAnsi="仿宋_GB2312" w:cs="仿宋_GB2312" w:eastAsia="仿宋_GB2312"/>
                <w:sz w:val="24"/>
              </w:rPr>
              <w:t>采购人承担。</w:t>
            </w:r>
          </w:p>
          <w:p>
            <w:pPr>
              <w:pStyle w:val="null3"/>
              <w:numPr>
                <w:ilvl w:val="0"/>
                <w:numId w:val="2"/>
              </w:numPr>
              <w:ind w:left="720"/>
              <w:jc w:val="both"/>
            </w:pPr>
            <w:r>
              <w:rPr>
                <w:rFonts w:ascii="仿宋_GB2312" w:hAnsi="仿宋_GB2312" w:cs="仿宋_GB2312" w:eastAsia="仿宋_GB2312"/>
                <w:sz w:val="24"/>
              </w:rPr>
              <w:t>飞机在维护过程中所产生的故障件航材、超出供应商维修能力的排故支援费用及飞机保持适航所需的时寿件的换件、修理费用由</w:t>
            </w:r>
            <w:r>
              <w:rPr>
                <w:rFonts w:ascii="仿宋_GB2312" w:hAnsi="仿宋_GB2312" w:cs="仿宋_GB2312" w:eastAsia="仿宋_GB2312"/>
                <w:sz w:val="24"/>
              </w:rPr>
              <w:t>报价中航耗材费用中支出，超出航耗材费用部分由</w:t>
            </w:r>
            <w:r>
              <w:rPr>
                <w:rFonts w:ascii="仿宋_GB2312" w:hAnsi="仿宋_GB2312" w:cs="仿宋_GB2312" w:eastAsia="仿宋_GB2312"/>
                <w:sz w:val="24"/>
              </w:rPr>
              <w:t>采购人承担。</w:t>
            </w:r>
            <w:r>
              <w:rPr>
                <w:rFonts w:ascii="仿宋_GB2312" w:hAnsi="仿宋_GB2312" w:cs="仿宋_GB2312" w:eastAsia="仿宋_GB2312"/>
                <w:sz w:val="21"/>
              </w:rPr>
              <w:t xml:space="preserve"> </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、飞行基本保障需求</w:t>
            </w:r>
          </w:p>
          <w:p>
            <w:pPr>
              <w:pStyle w:val="null3"/>
              <w:numPr>
                <w:ilvl w:val="0"/>
                <w:numId w:val="1"/>
              </w:numPr>
              <w:ind w:left="660"/>
              <w:jc w:val="both"/>
            </w:pPr>
            <w:r>
              <w:rPr>
                <w:rFonts w:ascii="仿宋_GB2312" w:hAnsi="仿宋_GB2312" w:cs="仿宋_GB2312" w:eastAsia="仿宋_GB2312"/>
                <w:sz w:val="24"/>
              </w:rPr>
              <w:t>供应商必须按照运行承诺书中所保证的时间节点运行（不可抗力因素不包含在此条例中），若超出30日，采购人有权解除合同，并要求供应商赔偿由此造成的实际损失。</w:t>
            </w:r>
          </w:p>
          <w:p>
            <w:pPr>
              <w:pStyle w:val="null3"/>
              <w:numPr>
                <w:ilvl w:val="0"/>
                <w:numId w:val="1"/>
              </w:numPr>
              <w:ind w:left="660"/>
              <w:jc w:val="both"/>
            </w:pPr>
            <w:r>
              <w:rPr>
                <w:rFonts w:ascii="仿宋_GB2312" w:hAnsi="仿宋_GB2312" w:cs="仿宋_GB2312" w:eastAsia="仿宋_GB2312"/>
                <w:sz w:val="24"/>
              </w:rPr>
              <w:t>在托管期间，供应商应具备与军民航管制部门沟通、协调、联系的能力，负责飞行空域协调，以保证在规定时间内完成采购人交付的任务，按采购人下达的飞行计划和飞行指令，按时、按质、按量完成任务；</w:t>
            </w:r>
          </w:p>
          <w:p>
            <w:pPr>
              <w:pStyle w:val="null3"/>
              <w:numPr>
                <w:ilvl w:val="0"/>
                <w:numId w:val="1"/>
              </w:numPr>
              <w:ind w:left="660"/>
              <w:jc w:val="both"/>
            </w:pPr>
            <w:r>
              <w:rPr>
                <w:rFonts w:ascii="仿宋_GB2312" w:hAnsi="仿宋_GB2312" w:cs="仿宋_GB2312" w:eastAsia="仿宋_GB2312"/>
                <w:sz w:val="24"/>
              </w:rPr>
              <w:t>供应商负责取得任务所需的机场的使用许可和保障服务，负责与任务机场签署使用协议，提供采购人飞机飞行和勤务保障等。</w:t>
            </w:r>
          </w:p>
          <w:p>
            <w:pPr>
              <w:pStyle w:val="null3"/>
              <w:numPr>
                <w:ilvl w:val="0"/>
                <w:numId w:val="1"/>
              </w:numPr>
              <w:ind w:left="660"/>
              <w:jc w:val="both"/>
            </w:pPr>
            <w:r>
              <w:rPr>
                <w:rFonts w:ascii="仿宋_GB2312" w:hAnsi="仿宋_GB2312" w:cs="仿宋_GB2312" w:eastAsia="仿宋_GB2312"/>
                <w:sz w:val="24"/>
              </w:rPr>
              <w:t>供应商按采购人要求完成飞行作业任务，严禁无故拒飞和延误飞行，否则应承担相应经济处罚。</w:t>
            </w:r>
          </w:p>
          <w:p>
            <w:pPr>
              <w:pStyle w:val="null3"/>
              <w:numPr>
                <w:ilvl w:val="0"/>
                <w:numId w:val="1"/>
              </w:numPr>
              <w:ind w:left="660"/>
              <w:jc w:val="both"/>
            </w:pPr>
            <w:r>
              <w:rPr>
                <w:rFonts w:ascii="仿宋_GB2312" w:hAnsi="仿宋_GB2312" w:cs="仿宋_GB2312" w:eastAsia="仿宋_GB2312"/>
                <w:sz w:val="24"/>
              </w:rPr>
              <w:t>若飞机运行期间因供应商原因造成飞机等级事故，采购人有权立即终止合同，并对资金进行妥善安排。</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、飞机保险</w:t>
            </w:r>
          </w:p>
          <w:p>
            <w:pPr>
              <w:pStyle w:val="null3"/>
              <w:ind w:firstLine="480"/>
              <w:jc w:val="both"/>
            </w:pPr>
            <w:r>
              <w:rPr>
                <w:rFonts w:ascii="仿宋_GB2312" w:hAnsi="仿宋_GB2312" w:cs="仿宋_GB2312" w:eastAsia="仿宋_GB2312"/>
                <w:sz w:val="24"/>
              </w:rPr>
              <w:t>供应商负责办理飞机保险（飞机、机组人员和作业人员）和索赔工作，并承担相关费用，</w:t>
            </w:r>
            <w:r>
              <w:rPr>
                <w:rFonts w:ascii="仿宋_GB2312" w:hAnsi="仿宋_GB2312" w:cs="仿宋_GB2312" w:eastAsia="仿宋_GB2312"/>
                <w:sz w:val="24"/>
              </w:rPr>
              <w:t>期限1年：</w:t>
            </w:r>
          </w:p>
          <w:p>
            <w:pPr>
              <w:pStyle w:val="null3"/>
              <w:ind w:firstLine="480"/>
              <w:jc w:val="both"/>
            </w:pPr>
            <w:r>
              <w:rPr>
                <w:rFonts w:ascii="仿宋_GB2312" w:hAnsi="仿宋_GB2312" w:cs="仿宋_GB2312" w:eastAsia="仿宋_GB2312"/>
                <w:sz w:val="24"/>
              </w:rPr>
              <w:t>（1）飞机机身保险（含机载设备）按人民币14400万元投保；</w:t>
            </w:r>
          </w:p>
          <w:p>
            <w:pPr>
              <w:pStyle w:val="null3"/>
              <w:ind w:firstLine="480"/>
              <w:jc w:val="both"/>
            </w:pPr>
            <w:r>
              <w:rPr>
                <w:rFonts w:ascii="仿宋_GB2312" w:hAnsi="仿宋_GB2312" w:cs="仿宋_GB2312" w:eastAsia="仿宋_GB2312"/>
                <w:sz w:val="24"/>
              </w:rPr>
              <w:t>（2）飞机机上座位保险投保10座，每座人民币300万元；</w:t>
            </w:r>
          </w:p>
          <w:p>
            <w:pPr>
              <w:pStyle w:val="null3"/>
              <w:ind w:left="480"/>
              <w:jc w:val="both"/>
            </w:pPr>
            <w:r>
              <w:rPr>
                <w:rFonts w:ascii="仿宋_GB2312" w:hAnsi="仿宋_GB2312" w:cs="仿宋_GB2312" w:eastAsia="仿宋_GB2312"/>
                <w:sz w:val="24"/>
              </w:rPr>
              <w:t>（3）按国家规定投保第三者责任险，保险总额2000万。因第三方原因导致采购人遭受的各项损失，</w:t>
            </w:r>
            <w:r>
              <w:rPr>
                <w:rFonts w:ascii="仿宋_GB2312" w:hAnsi="仿宋_GB2312" w:cs="仿宋_GB2312" w:eastAsia="仿宋_GB2312"/>
                <w:sz w:val="24"/>
              </w:rPr>
              <w:t>供应商</w:t>
            </w:r>
            <w:r>
              <w:rPr>
                <w:rFonts w:ascii="仿宋_GB2312" w:hAnsi="仿宋_GB2312" w:cs="仿宋_GB2312" w:eastAsia="仿宋_GB2312"/>
                <w:sz w:val="24"/>
              </w:rPr>
              <w:t>须先行向采购人赔偿；</w:t>
            </w:r>
          </w:p>
          <w:p>
            <w:pPr>
              <w:pStyle w:val="null3"/>
              <w:ind w:left="480"/>
              <w:jc w:val="both"/>
            </w:pPr>
            <w:r>
              <w:rPr>
                <w:rFonts w:ascii="仿宋_GB2312" w:hAnsi="仿宋_GB2312" w:cs="仿宋_GB2312" w:eastAsia="仿宋_GB2312"/>
                <w:sz w:val="24"/>
              </w:rPr>
              <w:t>（4）如增雨飞机发生部分损失，保险赔偿用于飞机修复。如增雨飞机发生全损或推定全损的情况下，保险赔偿归飞机产权人所有。机上座位保险的保险赔偿归供应商和采购人所有。</w:t>
            </w:r>
          </w:p>
          <w:p>
            <w:pPr>
              <w:pStyle w:val="null3"/>
              <w:ind w:firstLine="960"/>
              <w:jc w:val="both"/>
            </w:pPr>
            <w:r>
              <w:rPr>
                <w:rFonts w:ascii="仿宋_GB2312" w:hAnsi="仿宋_GB2312" w:cs="仿宋_GB2312" w:eastAsia="仿宋_GB2312"/>
                <w:sz w:val="24"/>
              </w:rPr>
              <w:t>以上规定的各项保险，应在中国政府批准的保险公司投保。</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、采购人按照运行手册的有关规定，按时、保质完成各类维修保养工作，使飞机始终处于良好的技术状况和适航状态；</w:t>
            </w:r>
          </w:p>
          <w:p>
            <w:pPr>
              <w:pStyle w:val="null3"/>
              <w:numPr>
                <w:ilvl w:val="1"/>
                <w:numId w:val="3"/>
              </w:numPr>
            </w:pPr>
            <w:r>
              <w:rPr>
                <w:rFonts w:ascii="仿宋_GB2312" w:hAnsi="仿宋_GB2312" w:cs="仿宋_GB2312" w:eastAsia="仿宋_GB2312"/>
                <w:sz w:val="24"/>
              </w:rPr>
              <w:t>飞机的年度适航检查；</w:t>
            </w:r>
          </w:p>
          <w:p>
            <w:pPr>
              <w:pStyle w:val="null3"/>
              <w:numPr>
                <w:ilvl w:val="1"/>
                <w:numId w:val="3"/>
              </w:numPr>
              <w:jc w:val="both"/>
            </w:pPr>
            <w:r>
              <w:rPr>
                <w:rFonts w:ascii="仿宋_GB2312" w:hAnsi="仿宋_GB2312" w:cs="仿宋_GB2312" w:eastAsia="仿宋_GB2312"/>
                <w:sz w:val="24"/>
              </w:rPr>
              <w:t>提供转场飞行时加载设备的检查；</w:t>
            </w:r>
          </w:p>
          <w:p>
            <w:pPr>
              <w:pStyle w:val="null3"/>
              <w:numPr>
                <w:ilvl w:val="1"/>
                <w:numId w:val="3"/>
              </w:numPr>
              <w:jc w:val="both"/>
            </w:pPr>
            <w:r>
              <w:rPr>
                <w:rFonts w:ascii="仿宋_GB2312" w:hAnsi="仿宋_GB2312" w:cs="仿宋_GB2312" w:eastAsia="仿宋_GB2312"/>
                <w:sz w:val="24"/>
              </w:rPr>
              <w:t>提供日常运行所需的基本维修资源；</w:t>
            </w:r>
          </w:p>
          <w:p>
            <w:pPr>
              <w:pStyle w:val="null3"/>
              <w:numPr>
                <w:ilvl w:val="1"/>
                <w:numId w:val="3"/>
              </w:numPr>
              <w:jc w:val="both"/>
            </w:pPr>
            <w:r>
              <w:rPr>
                <w:rFonts w:ascii="仿宋_GB2312" w:hAnsi="仿宋_GB2312" w:cs="仿宋_GB2312" w:eastAsia="仿宋_GB2312"/>
                <w:sz w:val="24"/>
              </w:rPr>
              <w:t>监控和记录</w:t>
            </w:r>
            <w:r>
              <w:rPr>
                <w:rFonts w:ascii="仿宋_GB2312" w:hAnsi="仿宋_GB2312" w:cs="仿宋_GB2312" w:eastAsia="仿宋_GB2312"/>
                <w:sz w:val="24"/>
              </w:rPr>
              <w:t>采购人飞机、发动机和零部件的使用状态，建立飞机和发动机的使用和维修的历史记录；</w:t>
            </w:r>
          </w:p>
          <w:p>
            <w:pPr>
              <w:pStyle w:val="null3"/>
              <w:numPr>
                <w:ilvl w:val="1"/>
                <w:numId w:val="3"/>
              </w:numPr>
              <w:jc w:val="both"/>
            </w:pPr>
            <w:r>
              <w:rPr>
                <w:rFonts w:ascii="仿宋_GB2312" w:hAnsi="仿宋_GB2312" w:cs="仿宋_GB2312" w:eastAsia="仿宋_GB2312"/>
                <w:sz w:val="24"/>
              </w:rPr>
              <w:t>妥善保管</w:t>
            </w:r>
            <w:r>
              <w:rPr>
                <w:rFonts w:ascii="仿宋_GB2312" w:hAnsi="仿宋_GB2312" w:cs="仿宋_GB2312" w:eastAsia="仿宋_GB2312"/>
                <w:sz w:val="24"/>
              </w:rPr>
              <w:t>采购人飞机的单机技术档案和技术资料；</w:t>
            </w:r>
          </w:p>
          <w:p>
            <w:pPr>
              <w:pStyle w:val="null3"/>
              <w:numPr>
                <w:ilvl w:val="1"/>
                <w:numId w:val="3"/>
              </w:numPr>
              <w:jc w:val="both"/>
            </w:pPr>
            <w:r>
              <w:rPr>
                <w:rFonts w:ascii="仿宋_GB2312" w:hAnsi="仿宋_GB2312" w:cs="仿宋_GB2312" w:eastAsia="仿宋_GB2312"/>
                <w:sz w:val="24"/>
              </w:rPr>
              <w:t>根据维修需要制定维修人员培训计划，安排适量的维修人员接收机型培训和复训课程，并取得飞机放行资格；</w:t>
            </w:r>
          </w:p>
          <w:p>
            <w:pPr>
              <w:pStyle w:val="null3"/>
              <w:numPr>
                <w:ilvl w:val="1"/>
                <w:numId w:val="3"/>
              </w:numPr>
              <w:jc w:val="both"/>
            </w:pPr>
            <w:r>
              <w:rPr>
                <w:rFonts w:ascii="仿宋_GB2312" w:hAnsi="仿宋_GB2312" w:cs="仿宋_GB2312" w:eastAsia="仿宋_GB2312"/>
                <w:sz w:val="24"/>
              </w:rPr>
              <w:t>派驻专门维修人员对采购人飞机进行日常维护；</w:t>
            </w:r>
          </w:p>
          <w:p>
            <w:pPr>
              <w:pStyle w:val="null3"/>
              <w:numPr>
                <w:ilvl w:val="1"/>
                <w:numId w:val="3"/>
              </w:numPr>
              <w:jc w:val="both"/>
            </w:pPr>
            <w:r>
              <w:rPr>
                <w:rFonts w:ascii="仿宋_GB2312" w:hAnsi="仿宋_GB2312" w:cs="仿宋_GB2312" w:eastAsia="仿宋_GB2312"/>
                <w:sz w:val="24"/>
              </w:rPr>
              <w:t>实施航线一般勤务和飞机放行工作；</w:t>
            </w:r>
          </w:p>
          <w:p>
            <w:pPr>
              <w:pStyle w:val="null3"/>
              <w:numPr>
                <w:ilvl w:val="1"/>
                <w:numId w:val="3"/>
              </w:numPr>
              <w:jc w:val="both"/>
            </w:pPr>
            <w:r>
              <w:rPr>
                <w:rFonts w:ascii="仿宋_GB2312" w:hAnsi="仿宋_GB2312" w:cs="仿宋_GB2312" w:eastAsia="仿宋_GB2312"/>
                <w:sz w:val="24"/>
              </w:rPr>
              <w:t>采购人对飞机的适航状态和质量体系等进行不定期检查。</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、供应商中标后负责办理必备手续，并保证按采购人要求执行人工增雨作业及科学试验任务。</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、供应商负责与飞机生产厂家联系，承担技术出版物更新和使用事宜（包括飞行手册、维修手册、飞机设备系统技术资料的更新及修订等），并承担相关费用。</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、供应商制定飞机正式运行的进度安排表，报采购人同意后，严格按照进度安排表进行实施。</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、合同期满后，供应商应将飞机运行技术资料、记录和档案等完整资料交付采购人，并保证飞机处于适航状态。</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、供应商应根据采购人需要配备固定的飞机机组和地面保障人员在采购人增雨作业驻地常驻，确保增雨作业任务顺利执行。</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、采购人承担下达的飞行任务所发生的起降费、停场费和机载任务系统安装调试所产生的机场服务相关费用。</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、采购人承担供应商在飞机增雨作业飞行和地面保障人员的食宿费用及往返机场交通费用。</w:t>
            </w:r>
          </w:p>
          <w:p>
            <w:pPr>
              <w:pStyle w:val="null3"/>
              <w:jc w:val="both"/>
            </w:pPr>
            <w:r>
              <w:rPr>
                <w:rFonts w:ascii="仿宋_GB2312" w:hAnsi="仿宋_GB2312" w:cs="仿宋_GB2312" w:eastAsia="仿宋_GB2312"/>
                <w:sz w:val="24"/>
                <w:b/>
              </w:rPr>
              <w:t>（三）增雨飞机性能参数</w:t>
            </w:r>
          </w:p>
          <w:p>
            <w:pPr>
              <w:pStyle w:val="null3"/>
              <w:ind w:firstLine="480"/>
              <w:jc w:val="both"/>
            </w:pPr>
            <w:r>
              <w:rPr>
                <w:rFonts w:ascii="仿宋_GB2312" w:hAnsi="仿宋_GB2312" w:cs="仿宋_GB2312" w:eastAsia="仿宋_GB2312"/>
                <w:sz w:val="24"/>
              </w:rPr>
              <w:t>本次托管的新舟60增雨飞机（英文名称Modern Ark 60，英文缩写为“MA60”）（B-650N）为在新舟60飞机标准状态的基础上改装的用于执行人影作业的高性能作业飞机，是中航工业</w:t>
            </w:r>
            <w:r>
              <w:rPr>
                <w:rFonts w:ascii="仿宋_GB2312" w:hAnsi="仿宋_GB2312" w:cs="仿宋_GB2312" w:eastAsia="仿宋_GB2312"/>
                <w:sz w:val="24"/>
              </w:rPr>
              <w:t>西</w:t>
            </w:r>
            <w:r>
              <w:rPr>
                <w:rFonts w:ascii="仿宋_GB2312" w:hAnsi="仿宋_GB2312" w:cs="仿宋_GB2312" w:eastAsia="仿宋_GB2312"/>
                <w:sz w:val="24"/>
              </w:rPr>
              <w:t>飞自主知识产权的上单翼中短程涡轮螺旋桨支线客机，取得了由中国民用航空总局颁发的型号合格证。飞机为二人驾驶体制，能完成复杂气象条件下的飞行任务，具有II类进场能力。</w:t>
            </w:r>
          </w:p>
          <w:p>
            <w:pPr>
              <w:pStyle w:val="null3"/>
              <w:ind w:firstLine="480"/>
              <w:jc w:val="both"/>
            </w:pPr>
            <w:r>
              <w:rPr>
                <w:rFonts w:ascii="仿宋_GB2312" w:hAnsi="仿宋_GB2312" w:cs="仿宋_GB2312" w:eastAsia="仿宋_GB2312"/>
                <w:sz w:val="24"/>
              </w:rPr>
              <w:t>新舟60的最大载重量为6000 kg，机长为24.71 m，机高为8.85 m，翼展为29.20 m，最大航程为2450 km，最大飞行高度为8000 m，巡航速度为420 km/h，最大航时不少于6小时，能够同时装载多种人工增雨作业催化设备。新舟60飞机主要技术性能指标见表1。</w:t>
            </w:r>
          </w:p>
          <w:p>
            <w:pPr>
              <w:pStyle w:val="null3"/>
              <w:jc w:val="center"/>
            </w:pPr>
            <w:r>
              <w:rPr>
                <w:rFonts w:ascii="仿宋_GB2312" w:hAnsi="仿宋_GB2312" w:cs="仿宋_GB2312" w:eastAsia="仿宋_GB2312"/>
                <w:sz w:val="21"/>
                <w:b/>
                <w:color w:val="000000"/>
              </w:rPr>
              <w:t>表1 新舟60飞机主要技术性能指标表</w:t>
            </w:r>
          </w:p>
          <w:tbl>
            <w:tblPr>
              <w:tblBorders>
                <w:top w:val="none" w:color="000000" w:sz="4"/>
                <w:left w:val="none" w:color="000000" w:sz="4"/>
                <w:bottom w:val="none" w:color="000000" w:sz="4"/>
                <w:right w:val="none" w:color="000000" w:sz="4"/>
                <w:insideH w:val="none"/>
                <w:insideV w:val="none"/>
              </w:tblBorders>
            </w:tblPr>
            <w:tblGrid>
              <w:gridCol w:w="253"/>
              <w:gridCol w:w="522"/>
              <w:gridCol w:w="209"/>
              <w:gridCol w:w="363"/>
              <w:gridCol w:w="268"/>
              <w:gridCol w:w="442"/>
              <w:gridCol w:w="209"/>
              <w:gridCol w:w="283"/>
            </w:tblGrid>
            <w:tr>
              <w:tc>
                <w:tcPr>
                  <w:tcW w:type="dxa" w:w="775"/>
                  <w:gridSpan w:val="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指标</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单位</w:t>
                  </w: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参数</w:t>
                  </w:r>
                </w:p>
              </w:tc>
              <w:tc>
                <w:tcPr>
                  <w:tcW w:type="dxa" w:w="710"/>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指标</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单位</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参数</w:t>
                  </w:r>
                </w:p>
              </w:tc>
            </w:tr>
            <w:tr>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外部尺寸</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长度</w:t>
                  </w:r>
                </w:p>
              </w:tc>
              <w:tc>
                <w:tcPr>
                  <w:tcW w:type="dxa" w:w="2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24.71</w:t>
                  </w:r>
                </w:p>
              </w:tc>
              <w:tc>
                <w:tcPr>
                  <w:tcW w:type="dxa" w:w="2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起飞距离</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°襟翼</w:t>
                  </w:r>
                </w:p>
              </w:tc>
              <w:tc>
                <w:tcPr>
                  <w:tcW w:type="dxa" w:w="2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m</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1705</w:t>
                  </w:r>
                </w:p>
              </w:tc>
            </w:tr>
            <w:tr>
              <w:tc>
                <w:tcPr>
                  <w:tcW w:type="dxa" w:w="253"/>
                  <w:vMerge/>
                  <w:tcBorders>
                    <w:top w:val="none" w:color="000000" w:sz="4"/>
                    <w:left w:val="singl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翼展</w:t>
                  </w:r>
                </w:p>
              </w:tc>
              <w:tc>
                <w:tcPr>
                  <w:tcW w:type="dxa" w:w="209"/>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29.20</w:t>
                  </w:r>
                </w:p>
              </w:tc>
              <w:tc>
                <w:tcPr>
                  <w:tcW w:type="dxa" w:w="268"/>
                  <w:vMerge/>
                  <w:tcBorders>
                    <w:top w:val="none" w:color="000000" w:sz="4"/>
                    <w:left w:val="non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°襟翼</w:t>
                  </w:r>
                </w:p>
              </w:tc>
              <w:tc>
                <w:tcPr>
                  <w:tcW w:type="dxa" w:w="209"/>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1645</w:t>
                  </w:r>
                </w:p>
              </w:tc>
            </w:tr>
            <w:tr>
              <w:tc>
                <w:tcPr>
                  <w:tcW w:type="dxa" w:w="253"/>
                  <w:vMerge/>
                  <w:tcBorders>
                    <w:top w:val="none" w:color="000000" w:sz="4"/>
                    <w:left w:val="singl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停机高度</w:t>
                  </w:r>
                </w:p>
              </w:tc>
              <w:tc>
                <w:tcPr>
                  <w:tcW w:type="dxa" w:w="209"/>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8.85</w:t>
                  </w:r>
                </w:p>
              </w:tc>
              <w:tc>
                <w:tcPr>
                  <w:tcW w:type="dxa" w:w="71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着陆场长</w:t>
                  </w:r>
                </w:p>
              </w:tc>
              <w:tc>
                <w:tcPr>
                  <w:tcW w:type="dxa" w:w="209"/>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1460</w:t>
                  </w:r>
                </w:p>
              </w:tc>
            </w:tr>
            <w:tr>
              <w:tc>
                <w:tcPr>
                  <w:tcW w:type="dxa" w:w="253"/>
                  <w:vMerge/>
                  <w:tcBorders>
                    <w:top w:val="none" w:color="000000" w:sz="4"/>
                    <w:left w:val="singl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机翼面积</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m</w:t>
                  </w:r>
                  <w:r>
                    <w:rPr>
                      <w:rFonts w:ascii="仿宋_GB2312" w:hAnsi="仿宋_GB2312" w:cs="仿宋_GB2312" w:eastAsia="仿宋_GB2312"/>
                      <w:sz w:val="21"/>
                      <w:vertAlign w:val="superscript"/>
                    </w:rPr>
                    <w:t>2</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74.98</w:t>
                  </w:r>
                </w:p>
              </w:tc>
              <w:tc>
                <w:tcPr>
                  <w:tcW w:type="dxa" w:w="71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单发净升限</w:t>
                  </w:r>
                </w:p>
              </w:tc>
              <w:tc>
                <w:tcPr>
                  <w:tcW w:type="dxa" w:w="209"/>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3825</w:t>
                  </w:r>
                </w:p>
              </w:tc>
            </w:tr>
            <w:tr>
              <w:tc>
                <w:tcPr>
                  <w:tcW w:type="dxa" w:w="253"/>
                  <w:vMerge/>
                  <w:tcBorders>
                    <w:top w:val="none" w:color="000000" w:sz="4"/>
                    <w:left w:val="singl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螺旋桨直径</w:t>
                  </w:r>
                </w:p>
              </w:tc>
              <w:tc>
                <w:tcPr>
                  <w:tcW w:type="dxa" w:w="2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4.00</w:t>
                  </w:r>
                </w:p>
              </w:tc>
              <w:tc>
                <w:tcPr>
                  <w:tcW w:type="dxa" w:w="71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最大使用高度</w:t>
                  </w:r>
                </w:p>
              </w:tc>
              <w:tc>
                <w:tcPr>
                  <w:tcW w:type="dxa" w:w="209"/>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8000</w:t>
                  </w:r>
                </w:p>
              </w:tc>
            </w:tr>
            <w:tr>
              <w:tc>
                <w:tcPr>
                  <w:tcW w:type="dxa" w:w="253"/>
                  <w:vMerge/>
                  <w:tcBorders>
                    <w:top w:val="none" w:color="000000" w:sz="4"/>
                    <w:left w:val="singl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主轮距</w:t>
                  </w:r>
                </w:p>
              </w:tc>
              <w:tc>
                <w:tcPr>
                  <w:tcW w:type="dxa" w:w="209"/>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7.90</w:t>
                  </w:r>
                </w:p>
              </w:tc>
              <w:tc>
                <w:tcPr>
                  <w:tcW w:type="dxa" w:w="2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航程</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满油航程</w:t>
                  </w:r>
                </w:p>
              </w:tc>
              <w:tc>
                <w:tcPr>
                  <w:tcW w:type="dxa" w:w="2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km</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2450</w:t>
                  </w:r>
                </w:p>
              </w:tc>
            </w:tr>
            <w:tr>
              <w:tc>
                <w:tcPr>
                  <w:tcW w:type="dxa" w:w="253"/>
                  <w:vMerge/>
                  <w:tcBorders>
                    <w:top w:val="none" w:color="000000" w:sz="4"/>
                    <w:left w:val="singl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前主轮距</w:t>
                  </w:r>
                </w:p>
              </w:tc>
              <w:tc>
                <w:tcPr>
                  <w:tcW w:type="dxa" w:w="209"/>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9.56</w:t>
                  </w:r>
                </w:p>
              </w:tc>
              <w:tc>
                <w:tcPr>
                  <w:tcW w:type="dxa" w:w="268"/>
                  <w:vMerge/>
                  <w:tcBorders>
                    <w:top w:val="none" w:color="000000" w:sz="4"/>
                    <w:left w:val="non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满载航程</w:t>
                  </w:r>
                </w:p>
              </w:tc>
              <w:tc>
                <w:tcPr>
                  <w:tcW w:type="dxa" w:w="209"/>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1200</w:t>
                  </w:r>
                </w:p>
              </w:tc>
            </w:tr>
            <w:tr>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客舱尺寸</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客舱长度</w:t>
                  </w:r>
                </w:p>
              </w:tc>
              <w:tc>
                <w:tcPr>
                  <w:tcW w:type="dxa" w:w="2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11.16</w:t>
                  </w:r>
                </w:p>
              </w:tc>
              <w:tc>
                <w:tcPr>
                  <w:tcW w:type="dxa" w:w="2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航时</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满油航时</w:t>
                  </w:r>
                </w:p>
              </w:tc>
              <w:tc>
                <w:tcPr>
                  <w:tcW w:type="dxa" w:w="2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h</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6.7</w:t>
                  </w:r>
                </w:p>
              </w:tc>
            </w:tr>
            <w:tr>
              <w:tc>
                <w:tcPr>
                  <w:tcW w:type="dxa" w:w="253"/>
                  <w:vMerge/>
                  <w:tcBorders>
                    <w:top w:val="none" w:color="000000" w:sz="4"/>
                    <w:left w:val="singl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客舱宽度</w:t>
                  </w:r>
                </w:p>
              </w:tc>
              <w:tc>
                <w:tcPr>
                  <w:tcW w:type="dxa" w:w="209"/>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2.69</w:t>
                  </w:r>
                </w:p>
              </w:tc>
              <w:tc>
                <w:tcPr>
                  <w:tcW w:type="dxa" w:w="268"/>
                  <w:vMerge/>
                  <w:tcBorders>
                    <w:top w:val="none" w:color="000000" w:sz="4"/>
                    <w:left w:val="non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满载航时</w:t>
                  </w:r>
                </w:p>
              </w:tc>
              <w:tc>
                <w:tcPr>
                  <w:tcW w:type="dxa" w:w="209"/>
                  <w:vMerge/>
                  <w:tcBorders>
                    <w:top w:val="none" w:color="000000" w:sz="4"/>
                    <w:left w:val="none" w:color="000000" w:sz="4"/>
                    <w:bottom w:val="single" w:color="000000" w:sz="4"/>
                    <w:right w:val="single" w:color="000000" w:sz="4"/>
                  </w:tcBorders>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3.5</w:t>
                  </w:r>
                </w:p>
              </w:tc>
            </w:tr>
            <w:tr>
              <w:tc>
                <w:tcPr>
                  <w:tcW w:type="dxa" w:w="253"/>
                  <w:vMerge/>
                  <w:tcBorders>
                    <w:top w:val="none" w:color="000000" w:sz="4"/>
                    <w:left w:val="singl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客舱高度</w:t>
                  </w:r>
                </w:p>
              </w:tc>
              <w:tc>
                <w:tcPr>
                  <w:tcW w:type="dxa" w:w="209"/>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1.91</w:t>
                  </w:r>
                </w:p>
              </w:tc>
              <w:tc>
                <w:tcPr>
                  <w:tcW w:type="dxa" w:w="2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飞机设计使用寿命</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总飞行时间</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h</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60000</w:t>
                  </w:r>
                </w:p>
              </w:tc>
            </w:tr>
            <w:tr>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客舱空间</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前货舱容积</w:t>
                  </w:r>
                </w:p>
              </w:tc>
              <w:tc>
                <w:tcPr>
                  <w:tcW w:type="dxa" w:w="2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m</w:t>
                  </w:r>
                  <w:r>
                    <w:rPr>
                      <w:rFonts w:ascii="仿宋_GB2312" w:hAnsi="仿宋_GB2312" w:cs="仿宋_GB2312" w:eastAsia="仿宋_GB2312"/>
                      <w:sz w:val="21"/>
                      <w:vertAlign w:val="superscript"/>
                    </w:rPr>
                    <w:t>3</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5.10</w:t>
                  </w:r>
                </w:p>
              </w:tc>
              <w:tc>
                <w:tcPr>
                  <w:tcW w:type="dxa" w:w="268"/>
                  <w:vMerge/>
                  <w:tcBorders>
                    <w:top w:val="none" w:color="000000" w:sz="4"/>
                    <w:left w:val="non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总起落次数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次</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50000</w:t>
                  </w:r>
                </w:p>
              </w:tc>
            </w:tr>
            <w:tr>
              <w:tc>
                <w:tcPr>
                  <w:tcW w:type="dxa" w:w="253"/>
                  <w:vMerge/>
                  <w:tcBorders>
                    <w:top w:val="none" w:color="000000" w:sz="4"/>
                    <w:left w:val="singl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后货舱容积</w:t>
                  </w:r>
                </w:p>
              </w:tc>
              <w:tc>
                <w:tcPr>
                  <w:tcW w:type="dxa" w:w="209"/>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4.60</w:t>
                  </w:r>
                </w:p>
              </w:tc>
              <w:tc>
                <w:tcPr>
                  <w:tcW w:type="dxa" w:w="268"/>
                  <w:vMerge/>
                  <w:tcBorders>
                    <w:top w:val="none" w:color="000000" w:sz="4"/>
                    <w:left w:val="non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日历年限</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年</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25</w:t>
                  </w:r>
                </w:p>
              </w:tc>
            </w:tr>
            <w:tr>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出口尺寸</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登机门</w:t>
                  </w:r>
                </w:p>
              </w:tc>
              <w:tc>
                <w:tcPr>
                  <w:tcW w:type="dxa" w:w="2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0.75</w:t>
                  </w:r>
                  <w:r>
                    <w:rPr>
                      <w:rFonts w:ascii="仿宋_GB2312" w:hAnsi="仿宋_GB2312" w:cs="仿宋_GB2312" w:eastAsia="仿宋_GB2312"/>
                      <w:sz w:val="21"/>
                    </w:rPr>
                    <w:t>×1.40</w:t>
                  </w:r>
                </w:p>
              </w:tc>
              <w:tc>
                <w:tcPr>
                  <w:tcW w:type="dxa" w:w="2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飞机首次结构检查时限</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飞行时间</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h</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9600</w:t>
                  </w:r>
                </w:p>
              </w:tc>
            </w:tr>
            <w:tr>
              <w:tc>
                <w:tcPr>
                  <w:tcW w:type="dxa" w:w="253"/>
                  <w:vMerge/>
                  <w:tcBorders>
                    <w:top w:val="none" w:color="000000" w:sz="4"/>
                    <w:left w:val="singl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前货舱门</w:t>
                  </w:r>
                </w:p>
              </w:tc>
              <w:tc>
                <w:tcPr>
                  <w:tcW w:type="dxa" w:w="209"/>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1.19</w:t>
                  </w:r>
                  <w:r>
                    <w:rPr>
                      <w:rFonts w:ascii="仿宋_GB2312" w:hAnsi="仿宋_GB2312" w:cs="仿宋_GB2312" w:eastAsia="仿宋_GB2312"/>
                      <w:sz w:val="21"/>
                    </w:rPr>
                    <w:t>×1.22</w:t>
                  </w:r>
                </w:p>
              </w:tc>
              <w:tc>
                <w:tcPr>
                  <w:tcW w:type="dxa" w:w="268"/>
                  <w:vMerge/>
                  <w:tcBorders>
                    <w:top w:val="none" w:color="000000" w:sz="4"/>
                    <w:left w:val="non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起落次数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次</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8000</w:t>
                  </w:r>
                </w:p>
              </w:tc>
            </w:tr>
            <w:tr>
              <w:tc>
                <w:tcPr>
                  <w:tcW w:type="dxa" w:w="253"/>
                  <w:vMerge/>
                  <w:tcBorders>
                    <w:top w:val="none" w:color="000000" w:sz="4"/>
                    <w:left w:val="singl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后货舱门</w:t>
                  </w:r>
                </w:p>
              </w:tc>
              <w:tc>
                <w:tcPr>
                  <w:tcW w:type="dxa" w:w="209"/>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0.75</w:t>
                  </w:r>
                  <w:r>
                    <w:rPr>
                      <w:rFonts w:ascii="仿宋_GB2312" w:hAnsi="仿宋_GB2312" w:cs="仿宋_GB2312" w:eastAsia="仿宋_GB2312"/>
                      <w:sz w:val="21"/>
                    </w:rPr>
                    <w:t>×1.41</w:t>
                  </w:r>
                </w:p>
              </w:tc>
              <w:tc>
                <w:tcPr>
                  <w:tcW w:type="dxa" w:w="268"/>
                  <w:vMerge/>
                  <w:tcBorders>
                    <w:top w:val="none" w:color="000000" w:sz="4"/>
                    <w:left w:val="non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53"/>
                  <w:vMerge/>
                  <w:tcBorders>
                    <w:top w:val="none" w:color="000000" w:sz="4"/>
                    <w:left w:val="singl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客舱应急出口</w:t>
                  </w:r>
                </w:p>
              </w:tc>
              <w:tc>
                <w:tcPr>
                  <w:tcW w:type="dxa" w:w="209"/>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0.51</w:t>
                  </w:r>
                  <w:r>
                    <w:rPr>
                      <w:rFonts w:ascii="仿宋_GB2312" w:hAnsi="仿宋_GB2312" w:cs="仿宋_GB2312" w:eastAsia="仿宋_GB2312"/>
                      <w:sz w:val="21"/>
                    </w:rPr>
                    <w:t>×0.93</w:t>
                  </w:r>
                </w:p>
              </w:tc>
              <w:tc>
                <w:tcPr>
                  <w:tcW w:type="dxa" w:w="2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可靠性、维修性和保障性</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平均故障间隔时间</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h</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25</w:t>
                  </w:r>
                </w:p>
              </w:tc>
            </w:tr>
            <w:tr>
              <w:tc>
                <w:tcPr>
                  <w:tcW w:type="dxa" w:w="253"/>
                  <w:vMerge/>
                  <w:tcBorders>
                    <w:top w:val="none" w:color="000000" w:sz="4"/>
                    <w:left w:val="singl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驾驶舱应急出口</w:t>
                  </w:r>
                </w:p>
              </w:tc>
              <w:tc>
                <w:tcPr>
                  <w:tcW w:type="dxa" w:w="209"/>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0.50</w:t>
                  </w:r>
                  <w:r>
                    <w:rPr>
                      <w:rFonts w:ascii="仿宋_GB2312" w:hAnsi="仿宋_GB2312" w:cs="仿宋_GB2312" w:eastAsia="仿宋_GB2312"/>
                      <w:sz w:val="21"/>
                    </w:rPr>
                    <w:t>×0.51</w:t>
                  </w:r>
                </w:p>
              </w:tc>
              <w:tc>
                <w:tcPr>
                  <w:tcW w:type="dxa" w:w="268"/>
                  <w:vMerge/>
                  <w:tcBorders>
                    <w:top w:val="none" w:color="000000" w:sz="4"/>
                    <w:left w:val="non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出勤可靠度</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99</w:t>
                  </w:r>
                </w:p>
              </w:tc>
            </w:tr>
            <w:tr>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主要重量数据</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最大滑行重量</w:t>
                  </w:r>
                </w:p>
              </w:tc>
              <w:tc>
                <w:tcPr>
                  <w:tcW w:type="dxa" w:w="2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kg</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21900</w:t>
                  </w:r>
                </w:p>
              </w:tc>
              <w:tc>
                <w:tcPr>
                  <w:tcW w:type="dxa" w:w="268"/>
                  <w:vMerge/>
                  <w:tcBorders>
                    <w:top w:val="none" w:color="000000" w:sz="4"/>
                    <w:left w:val="non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平均修复时间</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h</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r>
            <w:tr>
              <w:tc>
                <w:tcPr>
                  <w:tcW w:type="dxa" w:w="253"/>
                  <w:vMerge/>
                  <w:tcBorders>
                    <w:top w:val="none" w:color="000000" w:sz="4"/>
                    <w:left w:val="singl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最大起飞重量</w:t>
                  </w:r>
                </w:p>
              </w:tc>
              <w:tc>
                <w:tcPr>
                  <w:tcW w:type="dxa" w:w="209"/>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21800</w:t>
                  </w:r>
                </w:p>
              </w:tc>
              <w:tc>
                <w:tcPr>
                  <w:tcW w:type="dxa" w:w="268"/>
                  <w:vMerge/>
                  <w:tcBorders>
                    <w:top w:val="none" w:color="000000" w:sz="4"/>
                    <w:left w:val="non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每飞行小时直接维修工时</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人时</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w:t>
                  </w:r>
                </w:p>
              </w:tc>
            </w:tr>
            <w:tr>
              <w:tc>
                <w:tcPr>
                  <w:tcW w:type="dxa" w:w="253"/>
                  <w:vMerge/>
                  <w:tcBorders>
                    <w:top w:val="none" w:color="000000" w:sz="4"/>
                    <w:left w:val="singl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最大着陆重量</w:t>
                  </w:r>
                </w:p>
              </w:tc>
              <w:tc>
                <w:tcPr>
                  <w:tcW w:type="dxa" w:w="209"/>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21200</w:t>
                  </w:r>
                </w:p>
              </w:tc>
              <w:tc>
                <w:tcPr>
                  <w:tcW w:type="dxa" w:w="268"/>
                  <w:vMerge/>
                  <w:tcBorders>
                    <w:top w:val="none" w:color="000000" w:sz="4"/>
                    <w:left w:val="non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更换发动机时间</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h</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8</w:t>
                  </w:r>
                </w:p>
              </w:tc>
            </w:tr>
            <w:tr>
              <w:tc>
                <w:tcPr>
                  <w:tcW w:type="dxa" w:w="253"/>
                  <w:vMerge/>
                  <w:tcBorders>
                    <w:top w:val="none" w:color="000000" w:sz="4"/>
                    <w:left w:val="singl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最大商载重量</w:t>
                  </w:r>
                </w:p>
              </w:tc>
              <w:tc>
                <w:tcPr>
                  <w:tcW w:type="dxa" w:w="209"/>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6000</w:t>
                  </w:r>
                </w:p>
              </w:tc>
              <w:tc>
                <w:tcPr>
                  <w:tcW w:type="dxa" w:w="268"/>
                  <w:vMerge/>
                  <w:tcBorders>
                    <w:top w:val="none" w:color="000000" w:sz="4"/>
                    <w:left w:val="non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53"/>
                  <w:vMerge/>
                  <w:tcBorders>
                    <w:top w:val="none" w:color="000000" w:sz="4"/>
                    <w:left w:val="singl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最大燃油重量</w:t>
                  </w:r>
                </w:p>
              </w:tc>
              <w:tc>
                <w:tcPr>
                  <w:tcW w:type="dxa" w:w="209"/>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4030</w:t>
                  </w:r>
                </w:p>
              </w:tc>
              <w:tc>
                <w:tcPr>
                  <w:tcW w:type="dxa" w:w="71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平均小时耗油量</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kg</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540</w:t>
                  </w:r>
                </w:p>
              </w:tc>
            </w:tr>
            <w:tr>
              <w:tc>
                <w:tcPr>
                  <w:tcW w:type="dxa" w:w="253"/>
                  <w:vMerge/>
                  <w:tcBorders>
                    <w:top w:val="none" w:color="000000" w:sz="4"/>
                    <w:left w:val="singl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使用空机重量</w:t>
                  </w:r>
                </w:p>
              </w:tc>
              <w:tc>
                <w:tcPr>
                  <w:tcW w:type="dxa" w:w="209"/>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14820</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rFonts w:ascii="仿宋_GB2312" w:hAnsi="仿宋_GB2312" w:cs="仿宋_GB2312" w:eastAsia="仿宋_GB2312"/>
                <w:sz w:val="24"/>
              </w:rPr>
              <w:t>增雨飞机重点改装内容包括：加装机载大气探测子系统、机载催化作业子系统、空地通信子系统和机载设备系统集成平台；为适应人影作业任务，对飞机内外部布局、飞机结构、机械系统、音频系统、电气系统、电源系统和电磁兼容性等进行适应性改进和加强。</w:t>
            </w:r>
          </w:p>
          <w:p>
            <w:pPr>
              <w:pStyle w:val="null3"/>
              <w:jc w:val="center"/>
            </w:pPr>
            <w:r>
              <w:rPr>
                <w:rFonts w:ascii="仿宋_GB2312" w:hAnsi="仿宋_GB2312" w:cs="仿宋_GB2312" w:eastAsia="仿宋_GB2312"/>
                <w:sz w:val="21"/>
                <w:b/>
                <w:color w:val="000000"/>
              </w:rPr>
              <w:t>表2 高性能作业飞机主要加装设备表</w:t>
            </w:r>
          </w:p>
          <w:tbl>
            <w:tblPr>
              <w:tblBorders>
                <w:top w:val="none" w:color="000000" w:sz="4"/>
                <w:left w:val="none" w:color="000000" w:sz="4"/>
                <w:bottom w:val="none" w:color="000000" w:sz="4"/>
                <w:right w:val="none" w:color="000000" w:sz="4"/>
                <w:insideH w:val="none"/>
                <w:insideV w:val="none"/>
              </w:tblBorders>
            </w:tblPr>
            <w:tblGrid>
              <w:gridCol w:w="990"/>
              <w:gridCol w:w="443"/>
              <w:gridCol w:w="703"/>
              <w:gridCol w:w="417"/>
            </w:tblGrid>
            <w:tr>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改装设备名称</w:t>
                  </w:r>
                </w:p>
              </w:tc>
              <w:tc>
                <w:tcPr>
                  <w:tcW w:type="dxa" w:w="44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改装位置</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单个重量（kg）</w:t>
                  </w:r>
                </w:p>
              </w:tc>
              <w:tc>
                <w:tcPr>
                  <w:tcW w:type="dxa" w:w="4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单个功耗（W）</w:t>
                  </w:r>
                </w:p>
              </w:tc>
            </w:tr>
            <w:tr>
              <w:tc>
                <w:tcPr>
                  <w:tcW w:type="dxa" w:w="2553"/>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、机载大气探测子系统</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云降水粒子组合探头 CCP</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右机翼下</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13.214 (1.814+11.4)</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588</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探头 PCASP-100X+ SPP200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右机翼下</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18.2</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335</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飞机综合气象测量探头 D/XAS-45</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右机翼下</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云粒子图像组合探头 3V-CPI</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左机翼下</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r>
                    <w:rPr>
                      <w:rFonts w:ascii="仿宋_GB2312" w:hAnsi="仿宋_GB2312" w:cs="仿宋_GB2312" w:eastAsia="仿宋_GB2312"/>
                      <w:sz w:val="21"/>
                      <w:color w:val="000000"/>
                    </w:rPr>
                    <w:t>探头 35/数据供电 27)</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5200 15VAC</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快速云粒子谱探头 FCDP</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左机翼下</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5.4</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226.8</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飞机综合气象测量系统  AIMMS-30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左机翼下</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总水/液水探头 Nevzorov</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尾翼</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数据采集系统</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舱内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单云室云凝结核计数器 CCN-100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舱内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43.8</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外挂探头电缆</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舱外到舱内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3"/>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、机载催化作业子系统</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焰条播撒装备</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舱外</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单套空载316，满载438</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焰弹播撒装备</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舱外</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单套空载60，满载 78</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暖云播撒装置</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舱内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单套空载500，满载1500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制冷剂播撒设备</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舱内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单套空载120，满载280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553"/>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、空地通信子系统</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机载海事卫星通信设备</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舱内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15.2</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机载北斗用户机</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舱内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海事卫星天线</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舱外</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北斗天线</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舱外</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553"/>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color w:val="000000"/>
                    </w:rPr>
                    <w:t>4</w:t>
                  </w:r>
                  <w:r>
                    <w:rPr>
                      <w:rFonts w:ascii="仿宋_GB2312" w:hAnsi="仿宋_GB2312" w:cs="仿宋_GB2312" w:eastAsia="仿宋_GB2312"/>
                      <w:sz w:val="21"/>
                      <w:b/>
                      <w:color w:val="000000"/>
                    </w:rPr>
                    <w:t>、监控设备</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舱外作业监控摄像头</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舱内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3.5</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舱内监控摄像头</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舱内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3.5</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360</w:t>
                  </w:r>
                  <w:r>
                    <w:rPr>
                      <w:rFonts w:ascii="仿宋_GB2312" w:hAnsi="仿宋_GB2312" w:cs="仿宋_GB2312" w:eastAsia="仿宋_GB2312"/>
                      <w:sz w:val="21"/>
                      <w:color w:val="000000"/>
                    </w:rPr>
                    <w:t>°全景摄像机</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舱外</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北斗天线</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舱外</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553"/>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、集成子系统设备</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综合设备机柜</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机舱内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综合电源管理机柜</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机舱内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机载操作台</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机舱内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rFonts w:ascii="仿宋_GB2312" w:hAnsi="仿宋_GB2312" w:cs="仿宋_GB2312" w:eastAsia="仿宋_GB2312"/>
                <w:sz w:val="24"/>
                <w:b/>
              </w:rPr>
              <w:t>（四）托管飞机数量</w:t>
            </w:r>
          </w:p>
          <w:p>
            <w:pPr>
              <w:pStyle w:val="null3"/>
              <w:ind w:firstLine="470"/>
              <w:jc w:val="both"/>
            </w:pPr>
            <w:r>
              <w:rPr>
                <w:rFonts w:ascii="仿宋_GB2312" w:hAnsi="仿宋_GB2312" w:cs="仿宋_GB2312" w:eastAsia="仿宋_GB2312"/>
                <w:sz w:val="24"/>
              </w:rPr>
              <w:t>本次托管机型为1架新舟60型人工增雨飞机。</w:t>
            </w:r>
          </w:p>
          <w:p>
            <w:pPr>
              <w:pStyle w:val="null3"/>
              <w:jc w:val="both"/>
            </w:pPr>
            <w:r>
              <w:rPr>
                <w:rFonts w:ascii="仿宋_GB2312" w:hAnsi="仿宋_GB2312" w:cs="仿宋_GB2312" w:eastAsia="仿宋_GB2312"/>
                <w:sz w:val="24"/>
                <w:b/>
              </w:rPr>
              <w:t>（五）时间周期</w:t>
            </w:r>
          </w:p>
          <w:p>
            <w:pPr>
              <w:pStyle w:val="null3"/>
              <w:jc w:val="both"/>
            </w:pPr>
            <w:r>
              <w:rPr>
                <w:rFonts w:ascii="仿宋_GB2312" w:hAnsi="仿宋_GB2312" w:cs="仿宋_GB2312" w:eastAsia="仿宋_GB2312"/>
                <w:sz w:val="24"/>
              </w:rPr>
              <w:t>合同生效期：合同签订后生效。</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三、商务要求</w:t>
            </w:r>
          </w:p>
          <w:p>
            <w:pPr>
              <w:pStyle w:val="null3"/>
            </w:pPr>
            <w:r>
              <w:rPr>
                <w:rFonts w:ascii="仿宋_GB2312" w:hAnsi="仿宋_GB2312" w:cs="仿宋_GB2312" w:eastAsia="仿宋_GB2312"/>
                <w:sz w:val="24"/>
              </w:rPr>
              <w:t>（一）服务期限</w:t>
            </w:r>
          </w:p>
          <w:p>
            <w:pPr>
              <w:pStyle w:val="null3"/>
            </w:pPr>
            <w:r>
              <w:rPr>
                <w:rFonts w:ascii="仿宋_GB2312" w:hAnsi="仿宋_GB2312" w:cs="仿宋_GB2312" w:eastAsia="仿宋_GB2312"/>
                <w:sz w:val="24"/>
              </w:rPr>
              <w:t>1</w:t>
            </w:r>
            <w:r>
              <w:rPr>
                <w:rFonts w:ascii="仿宋_GB2312" w:hAnsi="仿宋_GB2312" w:cs="仿宋_GB2312" w:eastAsia="仿宋_GB2312"/>
                <w:sz w:val="24"/>
              </w:rPr>
              <w:t>年</w:t>
            </w:r>
          </w:p>
          <w:p>
            <w:pPr>
              <w:pStyle w:val="null3"/>
            </w:pPr>
            <w:r>
              <w:rPr>
                <w:rFonts w:ascii="仿宋_GB2312" w:hAnsi="仿宋_GB2312" w:cs="仿宋_GB2312" w:eastAsia="仿宋_GB2312"/>
                <w:sz w:val="24"/>
              </w:rPr>
              <w:t>（二）付款计划：</w:t>
            </w:r>
          </w:p>
          <w:p>
            <w:pPr>
              <w:pStyle w:val="null3"/>
            </w:pPr>
            <w:r>
              <w:rPr>
                <w:rFonts w:ascii="仿宋_GB2312" w:hAnsi="仿宋_GB2312" w:cs="仿宋_GB2312" w:eastAsia="仿宋_GB2312"/>
                <w:sz w:val="24"/>
              </w:rPr>
              <w:t>1</w:t>
            </w:r>
            <w:r>
              <w:rPr>
                <w:rFonts w:ascii="仿宋_GB2312" w:hAnsi="仿宋_GB2312" w:cs="仿宋_GB2312" w:eastAsia="仿宋_GB2312"/>
                <w:sz w:val="24"/>
              </w:rPr>
              <w:t>）支付方式：银行转账。</w:t>
            </w:r>
          </w:p>
          <w:p>
            <w:pPr>
              <w:pStyle w:val="null3"/>
            </w:pPr>
            <w:r>
              <w:rPr>
                <w:rFonts w:ascii="仿宋_GB2312" w:hAnsi="仿宋_GB2312" w:cs="仿宋_GB2312" w:eastAsia="仿宋_GB2312"/>
                <w:sz w:val="24"/>
              </w:rPr>
              <w:t>2</w:t>
            </w:r>
            <w:r>
              <w:rPr>
                <w:rFonts w:ascii="仿宋_GB2312" w:hAnsi="仿宋_GB2312" w:cs="仿宋_GB2312" w:eastAsia="仿宋_GB2312"/>
                <w:sz w:val="24"/>
              </w:rPr>
              <w:t>）结算方式：</w:t>
            </w:r>
          </w:p>
          <w:p>
            <w:pPr>
              <w:pStyle w:val="null3"/>
            </w:pPr>
            <w:r>
              <w:rPr>
                <w:rFonts w:ascii="仿宋_GB2312" w:hAnsi="仿宋_GB2312" w:cs="仿宋_GB2312" w:eastAsia="仿宋_GB2312"/>
                <w:sz w:val="24"/>
              </w:rPr>
              <w:t>1</w:t>
            </w:r>
            <w:r>
              <w:rPr>
                <w:rFonts w:ascii="仿宋_GB2312" w:hAnsi="仿宋_GB2312" w:cs="仿宋_GB2312" w:eastAsia="仿宋_GB2312"/>
                <w:sz w:val="24"/>
              </w:rPr>
              <w:t>、托管服务费合同签署后30日一次性付清，或者合同约定结算方式</w:t>
            </w:r>
            <w:r>
              <w:rPr>
                <w:rFonts w:ascii="仿宋_GB2312" w:hAnsi="仿宋_GB2312" w:cs="仿宋_GB2312" w:eastAsia="仿宋_GB2312"/>
                <w:sz w:val="24"/>
              </w:rPr>
              <w:t>。</w:t>
            </w:r>
          </w:p>
          <w:p>
            <w:pPr>
              <w:pStyle w:val="null3"/>
            </w:pPr>
            <w:r>
              <w:rPr>
                <w:rFonts w:ascii="仿宋_GB2312" w:hAnsi="仿宋_GB2312" w:cs="仿宋_GB2312" w:eastAsia="仿宋_GB2312"/>
                <w:sz w:val="24"/>
              </w:rPr>
              <w:t>2</w:t>
            </w:r>
            <w:r>
              <w:rPr>
                <w:rFonts w:ascii="仿宋_GB2312" w:hAnsi="仿宋_GB2312" w:cs="仿宋_GB2312" w:eastAsia="仿宋_GB2312"/>
                <w:sz w:val="24"/>
              </w:rPr>
              <w:t>、160飞行小时以外的费用根据具体考核办法核算后，依据合同约定方式按年度据实结算。</w:t>
            </w:r>
          </w:p>
          <w:p>
            <w:pPr>
              <w:pStyle w:val="null3"/>
            </w:pPr>
            <w:r>
              <w:rPr>
                <w:rFonts w:ascii="仿宋_GB2312" w:hAnsi="仿宋_GB2312" w:cs="仿宋_GB2312" w:eastAsia="仿宋_GB2312"/>
                <w:sz w:val="24"/>
              </w:rPr>
              <w:t>如中小企业中标，预付款比例为合同价款的40%，满足支付条件后于交付之日起30日内支付剩余款项。</w:t>
            </w:r>
          </w:p>
          <w:p>
            <w:pPr>
              <w:pStyle w:val="null3"/>
            </w:pPr>
            <w:r>
              <w:rPr>
                <w:rFonts w:ascii="仿宋_GB2312" w:hAnsi="仿宋_GB2312" w:cs="仿宋_GB2312" w:eastAsia="仿宋_GB2312"/>
                <w:sz w:val="24"/>
              </w:rPr>
              <w:t>注：“</w:t>
            </w:r>
            <w:r>
              <w:rPr>
                <w:rFonts w:ascii="仿宋_GB2312" w:hAnsi="仿宋_GB2312" w:cs="仿宋_GB2312" w:eastAsia="仿宋_GB2312"/>
                <w:sz w:val="21"/>
                <w:b/>
              </w:rPr>
              <w:t>★</w:t>
            </w:r>
            <w:r>
              <w:rPr>
                <w:rFonts w:ascii="仿宋_GB2312" w:hAnsi="仿宋_GB2312" w:cs="仿宋_GB2312" w:eastAsia="仿宋_GB2312"/>
                <w:sz w:val="24"/>
              </w:rPr>
              <w:t>”</w:t>
            </w:r>
            <w:r>
              <w:rPr>
                <w:rFonts w:ascii="仿宋_GB2312" w:hAnsi="仿宋_GB2312" w:cs="仿宋_GB2312" w:eastAsia="仿宋_GB2312"/>
                <w:sz w:val="24"/>
              </w:rPr>
              <w:t>号标记的条款为技术和商务的实质性要求和条件，若偏离则为无效投标。</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详见本章3.2.2</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详见本章3.2.2</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报价要求：固定总价，固定总价，本项目须报出基本托管服务费、航耗材费用及飞行小时费(160小时)的合计 注： 1、基本托管服务费包括：人员费用、保险费用、管理税费等。 2、飞行小时费：飞行底限小时为160小时，当飞行小时≤160小时，飞行小时费报价为固定报价（包干价）； 3、飞行小时超出160小时外的飞行小时费结算方式：超出小时数×（飞行小时费固定报价（包干价）÷160小时）； 4、2024年发生航耗材费用40万元，请投标人合理填报航耗材费用。 5、投标人必须对项目进行完整报价，任何不完全的投标报价将按照无效投标处理。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由采购单位根据合同要求进行验收。必须满足采购方的各项技术指标要求，验收完成后，出具验收书，以便结算。 验收依据：根据国家相关法律法规要求执行。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1、托管服务费合同签署后30日一次性付清，或者合同约定结算方式。 2、160飞行小时以外的费用根据具体考核办法核算后，依据合同约定方式按年度据实结算。 如中小企业中标，预付款比例为合同价款的40%，满足支付条件后于交付之日起30日内支付剩余款项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详见合同内容</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（一）具有独立承担民事责任的能力。 提供注册登记凭证（营业执照、其他组织经营的合法凭证，自然人的提供身份证明文件）。 （二）具有良好的商业信誉和健全的财务会计制度。 提供经审计的2023年度或2024年度财务报告（包括四表一注，即资产负债表、利润表、现金流量表、所有者权益变动表及其附注），且无反对意见；事业法人提供部门决算报告；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 以上三种形式的资料提供任何一种即可。 （三）具有履行合同所必需的设备和专业技术能力。 提供声明文件原件。 （四）具有依法缴纳税收的良好记录。 提供缴费所属日期为投标截止时间前12个月内任一月份（投标截止时间当月不计入）的增值税（或所得税）缴费凭据或税务机关出具的完税证明/在法规范围内不需提供的应出具书面说明和证明文件； （五）具有依法缴纳社会保障资金的良好记录。 提供缴费所属日期为投标截止时间前12个月内任一月份（投标截止时间当月不计入）的缴费凭据或社保机关出具的缴费证明/在法规范围内不需提供的应出具书面说明和证明文件； （六）参加政府采购活动前3年内在经营活动中没有重大违法记录的书面声明。 （七）提供民航部门颁发的通用航空企业经营许可证，经营范围中包含人工影响天气或人工降水； （八）提供中国民用航空局颁发的CCAR-91部运行合格证和CCAR-145部维修单位许可证。 （九）法人代表授权书。</w:t>
            </w:r>
          </w:p>
        </w:tc>
        <w:tc>
          <w:tcPr>
            <w:tcW w:type="dxa" w:w="1661"/>
          </w:tcPr>
          <w:p>
            <w:pPr>
              <w:pStyle w:val="null3"/>
            </w:pPr>
            <w:r>
              <w:rPr>
                <w:rFonts w:ascii="仿宋_GB2312" w:hAnsi="仿宋_GB2312" w:cs="仿宋_GB2312" w:eastAsia="仿宋_GB2312"/>
              </w:rPr>
              <w:t>投标函 资格部分</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资格部分</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资格部分</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投标人特定资格条件</w:t>
            </w:r>
          </w:p>
        </w:tc>
        <w:tc>
          <w:tcPr>
            <w:tcW w:type="dxa" w:w="3322"/>
          </w:tcPr>
          <w:p>
            <w:pPr>
              <w:pStyle w:val="null3"/>
            </w:pPr>
            <w:r>
              <w:rPr>
                <w:rFonts w:ascii="仿宋_GB2312" w:hAnsi="仿宋_GB2312" w:cs="仿宋_GB2312" w:eastAsia="仿宋_GB2312"/>
              </w:rPr>
              <w:t>（1）提供民航部门颁发的通用航空企业经营许可证，经营范围中包含人工影响天气或人工降水； （2）提供中国民用航空局颁发的CCAR-91部运行合格证和CCAR-145部维修单位许可证。</w:t>
            </w:r>
          </w:p>
        </w:tc>
        <w:tc>
          <w:tcPr>
            <w:tcW w:type="dxa" w:w="1661"/>
          </w:tcPr>
          <w:p>
            <w:pPr>
              <w:pStyle w:val="null3"/>
            </w:pPr>
            <w:r>
              <w:rPr>
                <w:rFonts w:ascii="仿宋_GB2312" w:hAnsi="仿宋_GB2312" w:cs="仿宋_GB2312" w:eastAsia="仿宋_GB2312"/>
              </w:rPr>
              <w:t>资格部分</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资格部分 商务应答表 商务技术部分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投标文件的完整性审查</w:t>
            </w:r>
          </w:p>
        </w:tc>
        <w:tc>
          <w:tcPr>
            <w:tcW w:type="dxa" w:w="3322"/>
          </w:tcPr>
          <w:p>
            <w:pPr>
              <w:pStyle w:val="null3"/>
            </w:pPr>
            <w:r>
              <w:rPr>
                <w:rFonts w:ascii="仿宋_GB2312" w:hAnsi="仿宋_GB2312" w:cs="仿宋_GB2312" w:eastAsia="仿宋_GB2312"/>
              </w:rPr>
              <w:t>投标文件是否按照招标文件要求的格式编写</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资格部分 商务应答表 商务技术部分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投标文件的有效性审查</w:t>
            </w:r>
          </w:p>
        </w:tc>
        <w:tc>
          <w:tcPr>
            <w:tcW w:type="dxa" w:w="3322"/>
          </w:tcPr>
          <w:p>
            <w:pPr>
              <w:pStyle w:val="null3"/>
            </w:pPr>
            <w:r>
              <w:rPr>
                <w:rFonts w:ascii="仿宋_GB2312" w:hAnsi="仿宋_GB2312" w:cs="仿宋_GB2312" w:eastAsia="仿宋_GB2312"/>
              </w:rPr>
              <w:t>投标文件的签署、加盖印章是否有效;提供的各种证明文件、数据、资料是否有效。</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资格部分 商务应答表 商务技术部分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投标报价是否超过采购预算;投标报价有效期是否符合招标文件的要求;投标文件内容是否符合国家法律法规。</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资格部分 商务应答表 商务技术部分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w:t>
            </w:r>
          </w:p>
        </w:tc>
        <w:tc>
          <w:tcPr>
            <w:tcW w:type="dxa" w:w="2492"/>
          </w:tcPr>
          <w:p>
            <w:pPr>
              <w:pStyle w:val="null3"/>
            </w:pPr>
            <w:r>
              <w:rPr>
                <w:rFonts w:ascii="仿宋_GB2312" w:hAnsi="仿宋_GB2312" w:cs="仿宋_GB2312" w:eastAsia="仿宋_GB2312"/>
              </w:rPr>
              <w:t>对项目要求理解准确、提供的整体服务方案内容全面、框架清晰的得[3,5]分； 对项目要求理解有偏差、整体服务方案内容较为全面、框架较为清晰的得[1,3）分； 对项目要求理解错误、整体服务方案内容有缺失或不足、框架不清晰的得[0,1）分。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服务工作方案</w:t>
            </w:r>
          </w:p>
        </w:tc>
        <w:tc>
          <w:tcPr>
            <w:tcW w:type="dxa" w:w="2492"/>
          </w:tcPr>
          <w:p>
            <w:pPr>
              <w:pStyle w:val="null3"/>
            </w:pPr>
            <w:r>
              <w:rPr>
                <w:rFonts w:ascii="仿宋_GB2312" w:hAnsi="仿宋_GB2312" w:cs="仿宋_GB2312" w:eastAsia="仿宋_GB2312"/>
              </w:rPr>
              <w:t>根据投标人的服务工作方案： 1、投标人针对招标文件技术要求提供针对性强且完善的项目实施方案，服务计划书详细、合理、全面，飞机托管服务方案先进性、适用性、安全性满足采购人实际需求，得[5,7]分； 2、投标人针对招标文件技术要求提供项目实施方案，方案基本完善，飞机托管服务方案基本满足实际要求。得[2,5）分； 3、投标人所提供的飞机托管方案有缺失或待完善，前后矛盾，得[0,2）分。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运行及保障人员体系</w:t>
            </w:r>
          </w:p>
        </w:tc>
        <w:tc>
          <w:tcPr>
            <w:tcW w:type="dxa" w:w="2492"/>
          </w:tcPr>
          <w:p>
            <w:pPr>
              <w:pStyle w:val="null3"/>
            </w:pPr>
            <w:r>
              <w:rPr>
                <w:rFonts w:ascii="仿宋_GB2312" w:hAnsi="仿宋_GB2312" w:cs="仿宋_GB2312" w:eastAsia="仿宋_GB2312"/>
              </w:rPr>
              <w:t>（一）人员实力（6分） 1、投标人拥有MA60机型（飞行执照签注MA60机型）的飞行员数量：15名（含）以上3分，10名（含）至14名（含）得2分，3名（含）至9名（含）得1分，3名以下得0分。（提供飞行员执照复印件、体检合格证、民航局颁发的空勤人员登机证的复印件并加盖投标人公章）； 2、投标人拥有MA60机型（维修执照签注MA60机型）的维修人员数量：维修执照人员15名以上3分，10名（含）至15名（含）得2分，6名（含）至9名（含）得1分，6名以下得0分（提供维修基础执照的复印件并加盖投标人公章）； （二）提供项目服务机组数量（6分） 1、投标人每提供一套飞行执照签注MA60机型的机组（机长、副驾各1名）得1分，满分6分； 注：提供运行规范清单、飞行员执照截图、体检合格证、民航局颁发的空勤人员登机证的复印件并加盖投标人公章 （三）提供项目服务机务数量（3分） 投标人具备维修执照签注MA60机型的机务，12名（含）以上3分，8名（含）至11名（含）得2分，8名以下得0分。 注：提供机务机型执照的复印件并加盖投标人公章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投标人的维修保障工作方案</w:t>
            </w:r>
          </w:p>
        </w:tc>
        <w:tc>
          <w:tcPr>
            <w:tcW w:type="dxa" w:w="2492"/>
          </w:tcPr>
          <w:p>
            <w:pPr>
              <w:pStyle w:val="null3"/>
            </w:pPr>
            <w:r>
              <w:rPr>
                <w:rFonts w:ascii="仿宋_GB2312" w:hAnsi="仿宋_GB2312" w:cs="仿宋_GB2312" w:eastAsia="仿宋_GB2312"/>
              </w:rPr>
              <w:t>投标人所制定的实施方案清晰明确、可操作性强，维修保障设备配置齐全、设备情况良好，提供供应商运营合格证或运行规范，得[1,2]分；方案有待完善，得[0,1）分。未提供维修保障方案与证明材料不得分。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维修保障能力</w:t>
            </w:r>
          </w:p>
        </w:tc>
        <w:tc>
          <w:tcPr>
            <w:tcW w:type="dxa" w:w="2492"/>
          </w:tcPr>
          <w:p>
            <w:pPr>
              <w:pStyle w:val="null3"/>
            </w:pPr>
            <w:r>
              <w:rPr>
                <w:rFonts w:ascii="仿宋_GB2312" w:hAnsi="仿宋_GB2312" w:cs="仿宋_GB2312" w:eastAsia="仿宋_GB2312"/>
              </w:rPr>
              <w:t>1、MA60飞机航线维修能力（2分） 投标人具备MA60机航线维修保障能力得2分，否则得0分。 2、MA60飞机定检维修能力（6分） 投标人具备MA60机型1200小时（含）、12个日历月（含）、1600起落（含）及以下各级定检维修能力得6分，否则0分。 注：提供维修许可证复印件及相关证明材料且加盖投标人公章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专业化能力</w:t>
            </w:r>
          </w:p>
        </w:tc>
        <w:tc>
          <w:tcPr>
            <w:tcW w:type="dxa" w:w="2492"/>
          </w:tcPr>
          <w:p>
            <w:pPr>
              <w:pStyle w:val="null3"/>
            </w:pPr>
            <w:r>
              <w:rPr>
                <w:rFonts w:ascii="仿宋_GB2312" w:hAnsi="仿宋_GB2312" w:cs="仿宋_GB2312" w:eastAsia="仿宋_GB2312"/>
              </w:rPr>
              <w:t>1、根据投标人质量管理体系建设情况得[0,2]分，(提供体系建设证明材料) 2、根据投标人环境管理体系建设、职业健康安全管理体系建设情况得[0,2]分。(提供体系建设证明材料) 注：未提供证明材料不得分。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综合保障能力</w:t>
            </w:r>
          </w:p>
        </w:tc>
        <w:tc>
          <w:tcPr>
            <w:tcW w:type="dxa" w:w="2492"/>
          </w:tcPr>
          <w:p>
            <w:pPr>
              <w:pStyle w:val="null3"/>
            </w:pPr>
            <w:r>
              <w:rPr>
                <w:rFonts w:ascii="仿宋_GB2312" w:hAnsi="仿宋_GB2312" w:cs="仿宋_GB2312" w:eastAsia="仿宋_GB2312"/>
              </w:rPr>
              <w:t>1、2021年1月1日至今投标人运营从事人工影响天气（或人工增雨）作业的涡轮多发飞机（除MA60飞机）的数量，4架（含）以上得5分，3架（含）得2分，1架（含）至2架（含）得1分，0架不得分。须提供合同复印件。 2、投标人燃油保障能力：油料供给范围涵盖全国机场得1分，否则0分。（提供油料保障协议首尾及标的所在页复印件且加盖投标人公章） 3、异地维修保障能力：2021年1月1日至今自主申请异地维修保障案例，每一案例得0.5分，最多得2分。（提供给民航局的异地维修申请函且加盖投标人公章） 4、投标人具有全国范围内的空域保障能力，2019年1月1日至今在全国所有战区（即北部、中部、东部、南部和西部战区）的空域内开展过人影作业的得2分，否则不得分。须提供国家管制部门出具的空域批复文件。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投标人应建立完善的飞机托管管理服务规章制度、奖惩措施、人员管理方法等： 1、投标人有完善的飞机托管管理服务规章制度、明确的项目管理职责与分工、人员安排与调配措施完善，属地机构运作正常，能有效地保证飞机托管工作顺利进行，确保按时按量完成飞机托管服务工作，得[4,6]分； 2、投标人有基本能满足采购人需求，日常管理制度完善、程序规范，管理措施及人员安排较为合理，得[2,4）分； 3、投标人所提供的飞机托管管理服务规章制度、奖惩措施不完善、得[0,2）分。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安全运行</w:t>
            </w:r>
          </w:p>
        </w:tc>
        <w:tc>
          <w:tcPr>
            <w:tcW w:type="dxa" w:w="2492"/>
          </w:tcPr>
          <w:p>
            <w:pPr>
              <w:pStyle w:val="null3"/>
            </w:pPr>
            <w:r>
              <w:rPr>
                <w:rFonts w:ascii="仿宋_GB2312" w:hAnsi="仿宋_GB2312" w:cs="仿宋_GB2312" w:eastAsia="仿宋_GB2312"/>
              </w:rPr>
              <w:t>投标人2014年1月1日至今未出现民用航空器征候及事故的得5分；出现过事故的，得0分。 须提供承诺函和中国民用航空安全信息系统截图，未提供不得分。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2021年1月1日至今，投标人具有利用MA60飞机从事人影作业或科学实验等特种机作业案例，作业种类≥3种得3分，作业种类=2种得2分，其他不得分。须提供合同证明（可通过多份合同体现多种作业种类），未提供合同证明不得分。 2、 2021年1月1日至今签订的MA60飞机的托管或代管服务，每有1架得0.6分，最多3分。未提供不得分。须提供合同证明。 注：以上两类业绩合同可重复计分。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投标人综合情况</w:t>
            </w:r>
          </w:p>
        </w:tc>
        <w:tc>
          <w:tcPr>
            <w:tcW w:type="dxa" w:w="2492"/>
          </w:tcPr>
          <w:p>
            <w:pPr>
              <w:pStyle w:val="null3"/>
            </w:pPr>
            <w:r>
              <w:rPr>
                <w:rFonts w:ascii="仿宋_GB2312" w:hAnsi="仿宋_GB2312" w:cs="仿宋_GB2312" w:eastAsia="仿宋_GB2312"/>
              </w:rPr>
              <w:t>（一）投标人运行MA60飞机数量（9分） 投标人运行MA60飞机数量≥5架得9分，1架≤投标人运行MA60飞机数量≤4架得4分，投标人运行MA60飞机数量=0架得0分。 注：提供有效飞机三证（国籍证、适航证、电台执照）复印件且加盖投标人公章。 （二）投标人2023年1月1日至今运行MA60飞机飞行时间： 飞行总时间≥800小时，得3分； 400小时≤飞行总时间＜800小时，得2分； 200小时≤飞行总时间＜400小时，得1分； 飞行总时间＜200小时，得0分。 注：须提供民航局通用航空管理系统网址（http://ga.caac.gov.cn/gacaac/home.html）截图；不提供则不得分。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商务技术部分</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1、最低评标价为评标基准价，得20分。 2、按（评标基准价/评标价×20）的公式计算价格得分。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商务技术部分</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详见附件：资格部分</w:t>
      </w:r>
    </w:p>
    <w:p>
      <w:pPr>
        <w:pStyle w:val="null3"/>
        <w:ind w:firstLine="960"/>
      </w:pPr>
      <w:r>
        <w:rPr>
          <w:rFonts w:ascii="仿宋_GB2312" w:hAnsi="仿宋_GB2312" w:cs="仿宋_GB2312" w:eastAsia="仿宋_GB2312"/>
        </w:rPr>
        <w:t>详见附件：商务技术部分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详见附件：新舟60增雨飞机托管服务采购项目-合同模板.docx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lowerLetter"/>
      <w:lvlText w:val="%1."/>
      <w:lvlJc w:val="left"/>
      <w:pPr>
        <w:ind w:left="0"/>
      </w:pPr>
    </w:lvl>
  </w:abstractNum>
  <w:abstractNum w:abstractNumId="2">
    <w:multiLevelType w:val="hybridMultilevel"/>
    <w:lvl w:ilvl="0">
      <w:start w:val="1"/>
      <w:numFmt w:val="decimal"/>
      <w:lvlText w:val="%1."/>
      <w:lvlJc w:val="left"/>
      <w:pPr>
        <w:ind w:left="0"/>
      </w:pPr>
    </w:lvl>
    <w:lvl w:ilvl="1">
      <w:start w:val="1"/>
      <w:numFmt w:val="decimal"/>
      <w:lvlText w:val="%2."/>
      <w:lvlJc w:val="left"/>
      <w:pPr>
        <w:ind w:left="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