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39CEB">
      <w:pPr>
        <w:autoSpaceDE w:val="0"/>
        <w:autoSpaceDN w:val="0"/>
        <w:adjustRightInd w:val="0"/>
        <w:snapToGrid w:val="0"/>
        <w:spacing w:line="360" w:lineRule="auto"/>
        <w:ind w:left="0" w:leftChars="0" w:firstLine="773" w:firstLineChars="175"/>
        <w:jc w:val="center"/>
        <w:outlineLvl w:val="0"/>
        <w:rPr>
          <w:rFonts w:hint="eastAsia" w:ascii="宋体" w:hAnsi="宋体" w:cs="宋体"/>
          <w:b/>
          <w:bCs/>
          <w:sz w:val="44"/>
          <w:szCs w:val="44"/>
          <w:highlight w:val="none"/>
        </w:rPr>
      </w:pPr>
      <w:r>
        <w:rPr>
          <w:rFonts w:hint="eastAsia" w:ascii="宋体" w:hAnsi="宋体" w:cs="宋体"/>
          <w:b/>
          <w:bCs/>
          <w:sz w:val="44"/>
          <w:szCs w:val="44"/>
          <w:highlight w:val="none"/>
        </w:rPr>
        <w:t>拟签订的合同条款</w:t>
      </w:r>
    </w:p>
    <w:p w14:paraId="6EF901B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根据《中华人民共和国政府采购法》、《</w:t>
      </w:r>
      <w:r>
        <w:rPr>
          <w:rFonts w:hint="eastAsia" w:ascii="宋体" w:hAnsi="宋体" w:cs="宋体"/>
          <w:sz w:val="24"/>
          <w:highlight w:val="none"/>
        </w:rPr>
        <w:t>中华人民共和国民典法</w:t>
      </w:r>
      <w:r>
        <w:rPr>
          <w:rFonts w:hint="eastAsia" w:ascii="宋体" w:hAnsi="宋体" w:cs="宋体"/>
          <w:color w:val="000000"/>
          <w:sz w:val="24"/>
          <w:highlight w:val="none"/>
        </w:rPr>
        <w:t>》等有关法律法规规定，____________(采购人名称)(以下简称：“甲方”)通过______采购(采购方式)确定______(</w:t>
      </w:r>
      <w:r>
        <w:rPr>
          <w:rFonts w:hint="eastAsia" w:ascii="宋体" w:hAnsi="宋体" w:cs="宋体"/>
          <w:color w:val="000000"/>
          <w:sz w:val="24"/>
          <w:highlight w:val="none"/>
          <w:lang w:val="en-US" w:eastAsia="zh-CN"/>
        </w:rPr>
        <w:t>中标人</w:t>
      </w:r>
      <w:r>
        <w:rPr>
          <w:rFonts w:hint="eastAsia" w:ascii="宋体" w:hAnsi="宋体" w:cs="宋体"/>
          <w:color w:val="000000"/>
          <w:sz w:val="24"/>
          <w:highlight w:val="none"/>
        </w:rPr>
        <w:t>名称)(以下简称：“乙方”)为______项目(项目名称)______</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包号</w:t>
      </w:r>
      <w:r>
        <w:rPr>
          <w:rFonts w:hint="eastAsia" w:ascii="宋体" w:hAnsi="宋体" w:cs="宋体"/>
          <w:color w:val="000000"/>
          <w:sz w:val="24"/>
          <w:highlight w:val="none"/>
          <w:lang w:eastAsia="zh-CN"/>
        </w:rPr>
        <w:t>）</w:t>
      </w:r>
      <w:r>
        <w:rPr>
          <w:rFonts w:hint="eastAsia" w:ascii="宋体" w:hAnsi="宋体" w:cs="宋体"/>
          <w:color w:val="000000"/>
          <w:sz w:val="24"/>
          <w:highlight w:val="none"/>
        </w:rPr>
        <w:t>的</w:t>
      </w:r>
      <w:r>
        <w:rPr>
          <w:rFonts w:hint="eastAsia" w:ascii="宋体" w:hAnsi="宋体" w:cs="宋体"/>
          <w:color w:val="000000"/>
          <w:sz w:val="24"/>
          <w:highlight w:val="none"/>
          <w:lang w:val="en-US" w:eastAsia="zh-CN"/>
        </w:rPr>
        <w:t>中标人</w:t>
      </w:r>
      <w:r>
        <w:rPr>
          <w:rFonts w:hint="eastAsia" w:ascii="宋体" w:hAnsi="宋体" w:cs="宋体"/>
          <w:color w:val="000000"/>
          <w:sz w:val="24"/>
          <w:highlight w:val="none"/>
        </w:rPr>
        <w:t>。甲乙双方同意签署《______项目(项目名称)合同》(合同编号：______，以下简称：“合同”)。</w:t>
      </w:r>
    </w:p>
    <w:p w14:paraId="2AA1F622">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rPr>
        <w:t>一、合同文件</w:t>
      </w:r>
    </w:p>
    <w:p w14:paraId="77DED76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1．合同文件包括：合同条款、</w:t>
      </w:r>
      <w:r>
        <w:rPr>
          <w:rFonts w:hint="eastAsia" w:ascii="宋体" w:hAnsi="宋体" w:cs="宋体"/>
          <w:color w:val="000000"/>
          <w:sz w:val="24"/>
          <w:highlight w:val="none"/>
          <w:lang w:val="en-US" w:eastAsia="zh-CN"/>
        </w:rPr>
        <w:t>中标</w:t>
      </w:r>
      <w:r>
        <w:rPr>
          <w:rFonts w:hint="eastAsia" w:ascii="宋体" w:hAnsi="宋体" w:cs="宋体"/>
          <w:color w:val="000000"/>
          <w:sz w:val="24"/>
          <w:highlight w:val="none"/>
        </w:rPr>
        <w:t>通知书、变更补充文件、</w:t>
      </w:r>
      <w:r>
        <w:rPr>
          <w:rFonts w:hint="eastAsia" w:ascii="宋体" w:hAnsi="宋体" w:cs="宋体"/>
          <w:color w:val="000000"/>
          <w:sz w:val="24"/>
          <w:highlight w:val="none"/>
          <w:lang w:eastAsia="zh-CN"/>
        </w:rPr>
        <w:t>招标</w:t>
      </w:r>
      <w:r>
        <w:rPr>
          <w:rFonts w:hint="eastAsia" w:ascii="宋体" w:hAnsi="宋体" w:cs="宋体"/>
          <w:color w:val="000000"/>
          <w:sz w:val="24"/>
          <w:highlight w:val="none"/>
        </w:rPr>
        <w:t>文件、</w:t>
      </w:r>
      <w:r>
        <w:rPr>
          <w:rFonts w:hint="eastAsia" w:ascii="宋体" w:hAnsi="宋体" w:cs="宋体"/>
          <w:color w:val="000000"/>
          <w:sz w:val="24"/>
          <w:highlight w:val="none"/>
          <w:lang w:eastAsia="zh-CN"/>
        </w:rPr>
        <w:t>中标人投标</w:t>
      </w:r>
      <w:r>
        <w:rPr>
          <w:rFonts w:hint="eastAsia" w:ascii="宋体" w:hAnsi="宋体" w:cs="宋体"/>
          <w:color w:val="000000"/>
          <w:sz w:val="24"/>
          <w:highlight w:val="none"/>
        </w:rPr>
        <w:t>文件、其他。</w:t>
      </w:r>
    </w:p>
    <w:p w14:paraId="081F1F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2．上述合同文件互为补充，对双方当事人均具有约束力。</w:t>
      </w:r>
    </w:p>
    <w:p w14:paraId="4C89C6B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二、</w:t>
      </w:r>
      <w:r>
        <w:rPr>
          <w:rFonts w:hint="eastAsia" w:ascii="宋体" w:hAnsi="宋体" w:cs="宋体"/>
          <w:b/>
          <w:bCs/>
          <w:color w:val="auto"/>
          <w:sz w:val="24"/>
          <w:highlight w:val="none"/>
          <w:lang w:val="en-US" w:eastAsia="zh-CN"/>
        </w:rPr>
        <w:t>合同金额及付款</w:t>
      </w:r>
    </w:p>
    <w:p w14:paraId="0858862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1.中标价（</w:t>
      </w:r>
      <w:r>
        <w:rPr>
          <w:rFonts w:hint="eastAsia" w:ascii="宋体" w:hAnsi="宋体" w:cs="宋体"/>
          <w:color w:val="000000"/>
          <w:sz w:val="24"/>
          <w:highlight w:val="none"/>
          <w:lang w:val="en-US" w:eastAsia="zh-CN"/>
        </w:rPr>
        <w:t>报价</w:t>
      </w:r>
      <w:bookmarkStart w:id="0" w:name="_GoBack"/>
      <w:bookmarkEnd w:id="0"/>
      <w:r>
        <w:rPr>
          <w:rFonts w:hint="eastAsia" w:ascii="宋体" w:hAnsi="宋体" w:eastAsia="宋体" w:cs="宋体"/>
          <w:color w:val="000000"/>
          <w:sz w:val="24"/>
          <w:highlight w:val="none"/>
          <w:lang w:val="en-US" w:eastAsia="zh-CN"/>
        </w:rPr>
        <w:t>下浮）：</w:t>
      </w:r>
      <w:r>
        <w:rPr>
          <w:rFonts w:hint="eastAsia" w:ascii="宋体" w:hAnsi="宋体" w:eastAsia="宋体" w:cs="宋体"/>
          <w:color w:val="000000"/>
          <w:sz w:val="24"/>
          <w:highlight w:val="none"/>
          <w:u w:val="single"/>
          <w:lang w:val="en-US" w:eastAsia="zh-CN"/>
        </w:rPr>
        <w:t xml:space="preserve">                   </w:t>
      </w:r>
    </w:p>
    <w:p w14:paraId="32B3CAF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2.结算方式：一次付清</w:t>
      </w:r>
    </w:p>
    <w:p w14:paraId="022AA3B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3.付款进度：按照中标人投标报价的折扣（折扣=1-投标报价下浮）乘以图书码洋方式确定付款数额，以实际采购量为结算依据；采购方以实洋结算书款，投标人开具加盖公章的正式发票，并注明码洋数、折扣。 达到付款条件起30日内，支付合同总金额的100%。</w:t>
      </w:r>
    </w:p>
    <w:p w14:paraId="21ED1AC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4.支付方式：银行转账。</w:t>
      </w:r>
    </w:p>
    <w:p w14:paraId="3CA9E84F">
      <w:pPr>
        <w:pStyle w:val="17"/>
        <w:spacing w:line="360" w:lineRule="auto"/>
        <w:ind w:firstLine="480"/>
        <w:jc w:val="both"/>
        <w:rPr>
          <w:rFonts w:hint="eastAsia"/>
          <w:b/>
          <w:bCs/>
          <w:sz w:val="24"/>
          <w:lang w:val="en-US" w:eastAsia="zh-CN"/>
        </w:rPr>
      </w:pPr>
      <w:r>
        <w:rPr>
          <w:rFonts w:hint="eastAsia" w:ascii="宋体" w:hAnsi="宋体" w:cs="宋体"/>
          <w:b/>
          <w:bCs/>
          <w:color w:val="auto"/>
          <w:sz w:val="24"/>
          <w:highlight w:val="none"/>
        </w:rPr>
        <w:t>三、</w:t>
      </w:r>
      <w:r>
        <w:rPr>
          <w:b/>
          <w:bCs/>
          <w:sz w:val="24"/>
        </w:rPr>
        <w:t>交货时间</w:t>
      </w:r>
      <w:r>
        <w:rPr>
          <w:rFonts w:hint="eastAsia"/>
          <w:b/>
          <w:bCs/>
          <w:sz w:val="24"/>
          <w:lang w:val="en-US" w:eastAsia="zh-CN"/>
        </w:rPr>
        <w:t>及地点：</w:t>
      </w:r>
    </w:p>
    <w:p w14:paraId="76E909E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1.交货时间：服务期1年，供应商收到采购人订购单之日起，预订中文图书应在</w:t>
      </w:r>
      <w:r>
        <w:rPr>
          <w:rFonts w:hint="default" w:ascii="宋体" w:hAnsi="宋体" w:eastAsia="宋体" w:cs="宋体"/>
          <w:color w:val="000000"/>
          <w:sz w:val="24"/>
          <w:highlight w:val="none"/>
          <w:lang w:val="en-US" w:eastAsia="zh-CN"/>
        </w:rPr>
        <w:t>45</w:t>
      </w:r>
      <w:r>
        <w:rPr>
          <w:rFonts w:hint="eastAsia" w:ascii="宋体" w:hAnsi="宋体" w:eastAsia="宋体" w:cs="宋体"/>
          <w:color w:val="000000"/>
          <w:sz w:val="24"/>
          <w:highlight w:val="none"/>
          <w:lang w:val="en-US" w:eastAsia="zh-CN"/>
        </w:rPr>
        <w:t>个自然日内送书到采购人指定地点，到货率不低于90%；现采中文图书应在30个自然日内送书到采购人指定地点，到货率不低于95%。具体服务起止日期随合同签订时间相应顺延。</w:t>
      </w:r>
    </w:p>
    <w:p w14:paraId="6AFF6DE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2.交货地点：陕西警察学院指定地点</w:t>
      </w:r>
    </w:p>
    <w:p w14:paraId="0C2B44B2">
      <w:pPr>
        <w:pStyle w:val="17"/>
        <w:spacing w:line="360" w:lineRule="auto"/>
        <w:ind w:firstLine="480"/>
        <w:jc w:val="both"/>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四、图书质量要求</w:t>
      </w:r>
    </w:p>
    <w:p w14:paraId="72F71171">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供应商必须保证提供的图书为国家正规出版社的正版图书，不得加入盗版图书及其它类型非法出版物。若出现有盗版或其它类型非法出版物，一经查实，采购人将拒付书款，终止合同，供应商要承担所有经济损失和法律责任。</w:t>
      </w:r>
    </w:p>
    <w:p w14:paraId="0B64FF69">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2.供应商所供图书必须与采购人提供的图书采购订单相符，不得更换或搭配未订购的图书，如果出现违例，超出订单以外的图书采购人将不予以付款。</w:t>
      </w:r>
    </w:p>
    <w:p w14:paraId="3CA70D3A">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14:paraId="6FB338BE">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4.对于出现开胶、散页、倒装、缺页、污损等有质量问题的图书，无论加工与否，供应商必须无条件及时退换。</w:t>
      </w:r>
    </w:p>
    <w:p w14:paraId="4994C696">
      <w:pPr>
        <w:pStyle w:val="17"/>
        <w:spacing w:line="360" w:lineRule="auto"/>
        <w:ind w:firstLine="480"/>
        <w:jc w:val="both"/>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五、服务要求</w:t>
      </w:r>
    </w:p>
    <w:p w14:paraId="6B93422E">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供应商应及时提供全国各大出版社出版的最新图书目录信息以及完整的EXCEL和MARC格式的采访数据，费用含在报价内，并能提供以下出版社全品种的采访数据：中国人民公安大学出版社、群众出版社、中国政法大学出版社、法律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p>
    <w:p w14:paraId="0B5EC8D0">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供应商收到图书采购订单后应在一个工作日内以电话、电子邮件方式回告，核实订单的图书预订册数和金额，并根据采购人提供的书目订单及时组织图书。及时向采购人通报图书组织情况，对于未采购到的图书说明原因。</w:t>
      </w:r>
    </w:p>
    <w:p w14:paraId="4E4A8ED5">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3.供应商应满足采购人提出的到全国大型书市、各级图书展览会或指定地点现场采购图书的要求，负责安排图书现采有关事宜。</w:t>
      </w:r>
    </w:p>
    <w:p w14:paraId="1D564EDB">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4.供应商应将图书送到采购人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费用均含在报价内。</w:t>
      </w:r>
    </w:p>
    <w:p w14:paraId="131BFA5C">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5.订购图书经加工完成并上架后予以付款，付款金额以实际验收图书为准。供应商应履行其价格结算优惠承诺，提供合法正规的发票，并在发票上注明图书码洋、销售折扣、实洋等项内容。</w:t>
      </w:r>
    </w:p>
    <w:p w14:paraId="336043E2">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6.供应商应积极协助采购方解决在采购过程中遇见的其他问题。</w:t>
      </w:r>
    </w:p>
    <w:p w14:paraId="0F19123E">
      <w:pPr>
        <w:pStyle w:val="17"/>
        <w:spacing w:line="360" w:lineRule="auto"/>
        <w:ind w:firstLine="480"/>
        <w:jc w:val="both"/>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kern w:val="2"/>
          <w:sz w:val="24"/>
          <w:szCs w:val="24"/>
          <w:highlight w:val="none"/>
          <w:lang w:val="en-US" w:eastAsia="zh-CN" w:bidi="ar-SA"/>
        </w:rPr>
        <w:t>六、加工技术要求</w:t>
      </w:r>
    </w:p>
    <w:p w14:paraId="4FDD7F88">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供应商能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所有费用包含在报价内。</w:t>
      </w:r>
    </w:p>
    <w:p w14:paraId="7F726848">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2.供应商须提供采购人需要的图书加工服务，主要包括：</w:t>
      </w:r>
    </w:p>
    <w:p w14:paraId="6317973A">
      <w:pPr>
        <w:pStyle w:val="17"/>
        <w:spacing w:line="360" w:lineRule="auto"/>
        <w:ind w:firstLine="480"/>
        <w:jc w:val="both"/>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提供规范的机读编目数据，并根据需方要求提供图书验收、分编、盖馆藏章、粘贴条码和书标等加工服务。磁条埋设贴近图书装订缝处，牢固隐蔽不易发现。</w:t>
      </w:r>
    </w:p>
    <w:p w14:paraId="1B117CB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以上服务涉及的相关材料及人工费用由供应商承担。</w:t>
      </w:r>
    </w:p>
    <w:p w14:paraId="08E9460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七、其他服务</w:t>
      </w:r>
    </w:p>
    <w:p w14:paraId="07F46F2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供应商能为图书馆提供有关最新出版的热点图书、畅销书、重点出版图书、名人推荐书单等图书的书目、书评或宣传推广文案服务；到馆开展畅销书展活动服务等。</w:t>
      </w:r>
    </w:p>
    <w:p w14:paraId="7F18602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default"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八、验收标准和方法</w:t>
      </w:r>
    </w:p>
    <w:p w14:paraId="3F6A21C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所有验收手续由中标人办理并承担费用，采购人提供相关协助。验收依据为本合同文本、招标文件、投标文件和国内相应的标准、规范。</w:t>
      </w:r>
    </w:p>
    <w:p w14:paraId="790E90AF">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九、包装方式及运输</w:t>
      </w:r>
    </w:p>
    <w:p w14:paraId="6D283A3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default"/>
          <w:lang w:val="en-US" w:eastAsia="zh-CN"/>
        </w:rPr>
      </w:pPr>
      <w:r>
        <w:rPr>
          <w:rFonts w:hint="eastAsia" w:ascii="宋体" w:hAnsi="宋体" w:eastAsia="宋体" w:cs="宋体"/>
          <w:color w:val="auto"/>
          <w:sz w:val="24"/>
          <w:highlight w:val="none"/>
          <w:lang w:eastAsia="zh-Hans"/>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4A2E04F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cs="宋体"/>
          <w:b/>
          <w:bCs/>
          <w:color w:val="000000"/>
          <w:sz w:val="24"/>
          <w:highlight w:val="none"/>
        </w:rPr>
      </w:pPr>
      <w:r>
        <w:rPr>
          <w:rFonts w:hint="eastAsia" w:ascii="宋体" w:hAnsi="宋体" w:cs="宋体"/>
          <w:b/>
          <w:bCs/>
          <w:color w:val="000000"/>
          <w:sz w:val="24"/>
          <w:highlight w:val="none"/>
          <w:lang w:val="en-US" w:eastAsia="zh-CN"/>
        </w:rPr>
        <w:t>十</w:t>
      </w:r>
      <w:r>
        <w:rPr>
          <w:rFonts w:hint="eastAsia" w:ascii="宋体" w:hAnsi="宋体" w:cs="宋体"/>
          <w:b/>
          <w:bCs/>
          <w:color w:val="000000"/>
          <w:sz w:val="24"/>
          <w:highlight w:val="none"/>
        </w:rPr>
        <w:t>、违约责任</w:t>
      </w:r>
    </w:p>
    <w:p w14:paraId="282F0B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乙方单批到馆图书（种）不合格率不得高于1％，高于1%按不合格计；供书过程中，不合格图书超过三批（含三批）者，甲方可以单方终止合同，乙方应承担中标码洋总额1%的违约金。（注：不合格图书指非我馆订购的图书和重复发送的图书）</w:t>
      </w:r>
    </w:p>
    <w:p w14:paraId="3B3CCCA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2</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甲方将严格按照采访数据进行验收，对所有的非甲方预订的图书一律退回乙方，所造成的经济损失由乙方承担。</w:t>
      </w:r>
    </w:p>
    <w:p w14:paraId="20CE948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3</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如果乙方提供盗版图书，甲方有权单方终止购书合同，所引发的法律责任全部由乙方承担。如印刷装订有问题的图书乙方必须免费给予调换，并承担由此造成的甲方的经济损失。</w:t>
      </w:r>
    </w:p>
    <w:p w14:paraId="765252E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乙方保证每册图书按甲方的要求加工，如图书加工不符合甲方约定的要求，甲方可以重新加工，乙方必须支付甲方相应加工费用和误工费用。</w:t>
      </w:r>
    </w:p>
    <w:p w14:paraId="75D379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5</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乙方在合同期内不得以任何理由（不可抗力除外）单方终止本合同。如果乙方在合同有效期内未能按约定全面、适当地履行合同义务，乙方应承担给甲方造成的所有损失，同时甲方有权单方面解除合同。</w:t>
      </w:r>
    </w:p>
    <w:p w14:paraId="730258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lang w:eastAsia="zh-Hans"/>
        </w:rPr>
      </w:pPr>
      <w:r>
        <w:rPr>
          <w:rFonts w:hint="eastAsia" w:ascii="宋体" w:hAnsi="宋体" w:eastAsia="宋体" w:cs="宋体"/>
          <w:color w:val="auto"/>
          <w:sz w:val="24"/>
          <w:highlight w:val="none"/>
          <w:lang w:eastAsia="zh-Hans"/>
        </w:rPr>
        <w:t>6</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Hans"/>
        </w:rPr>
        <w:t>乙方在履行合同过程中，如有违反国家法律的其它行为并引发法律责任，甲方将立即终止合同，所有责任及损失由乙方承担。</w:t>
      </w:r>
    </w:p>
    <w:p w14:paraId="671BFB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Hans"/>
        </w:rPr>
        <w:t>因本合同所发生争议，由双方协商解决，协商不成的，任何一方均可向甲方所在地人民法院提起诉讼。</w:t>
      </w:r>
    </w:p>
    <w:p w14:paraId="1F2B3DC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十一</w:t>
      </w:r>
      <w:r>
        <w:rPr>
          <w:rFonts w:hint="eastAsia" w:ascii="宋体" w:hAnsi="宋体" w:cs="宋体"/>
          <w:b/>
          <w:bCs/>
          <w:color w:val="auto"/>
          <w:sz w:val="24"/>
          <w:highlight w:val="none"/>
        </w:rPr>
        <w:t>、合同生效及其他</w:t>
      </w:r>
    </w:p>
    <w:p w14:paraId="50C410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1.本合同有效期：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月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日至</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 月 日，合同自甲乙双方签字盖章后生效。</w:t>
      </w:r>
    </w:p>
    <w:p w14:paraId="05934E7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本合同一式</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份，甲方持</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份，乙方持</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份，具有同等法律效力。</w:t>
      </w:r>
    </w:p>
    <w:p w14:paraId="26B06F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合同期满，本合同即失去约束效力。</w:t>
      </w:r>
    </w:p>
    <w:p w14:paraId="4713613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000000"/>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本合同未尽事宜</w:t>
      </w:r>
      <w:r>
        <w:rPr>
          <w:rFonts w:hint="eastAsia" w:ascii="宋体" w:hAnsi="宋体" w:cs="宋体"/>
          <w:color w:val="000000"/>
          <w:sz w:val="24"/>
          <w:highlight w:val="none"/>
        </w:rPr>
        <w:t>，双方可以增加条款或补充协议的形式加以补充，但增加或补充协议的条款不得对谈判文件做实质性修改。补充协议与本合同具有相同的法律效力。</w:t>
      </w:r>
    </w:p>
    <w:p w14:paraId="305972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rPr>
      </w:pPr>
      <w:r>
        <w:rPr>
          <w:rFonts w:hint="eastAsia" w:ascii="宋体" w:hAnsi="宋体" w:cs="宋体"/>
          <w:color w:val="000000"/>
          <w:sz w:val="24"/>
          <w:highlight w:val="none"/>
        </w:rPr>
        <w:t>5</w:t>
      </w:r>
      <w:r>
        <w:rPr>
          <w:rFonts w:hint="eastAsia" w:ascii="宋体" w:hAnsi="宋体" w:cs="宋体"/>
          <w:color w:val="000000"/>
          <w:sz w:val="24"/>
          <w:highlight w:val="none"/>
          <w:lang w:val="en-US" w:eastAsia="zh-CN"/>
        </w:rPr>
        <w:t>.</w:t>
      </w:r>
      <w:r>
        <w:rPr>
          <w:rFonts w:hint="eastAsia" w:ascii="宋体" w:hAnsi="宋体" w:cs="宋体"/>
          <w:color w:val="000000"/>
          <w:sz w:val="24"/>
          <w:highlight w:val="none"/>
        </w:rPr>
        <w:t>因本合同所发生争议，由双方协商解决，协商不成的，由甲方所在地合同仲裁委员会仲裁。</w:t>
      </w:r>
    </w:p>
    <w:p w14:paraId="2B69B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6.所签订的合同不得对招标文件确定的事项和中标人投标文件做实质性修改。</w:t>
      </w:r>
    </w:p>
    <w:p w14:paraId="135D11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color w:val="000000"/>
          <w:sz w:val="24"/>
          <w:highlight w:val="none"/>
          <w:lang w:val="en-US" w:eastAsia="zh-CN"/>
        </w:rPr>
      </w:pPr>
      <w:r>
        <w:rPr>
          <w:rFonts w:hint="eastAsia" w:ascii="宋体" w:hAnsi="宋体" w:cs="宋体"/>
          <w:color w:val="000000"/>
          <w:sz w:val="24"/>
          <w:highlight w:val="none"/>
          <w:lang w:val="en-US" w:eastAsia="zh-CN"/>
        </w:rPr>
        <w:t>7.甲乙双方不得擅自变更、中止、终止政府采购合同。</w:t>
      </w:r>
    </w:p>
    <w:p w14:paraId="31F8FA16">
      <w:pPr>
        <w:pStyle w:val="8"/>
        <w:spacing w:line="360" w:lineRule="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甲  方：陕西警察学院                  </w:t>
      </w:r>
      <w:r>
        <w:rPr>
          <w:rFonts w:hint="eastAsia" w:ascii="宋体" w:hAnsi="宋体" w:cs="宋体"/>
          <w:bCs/>
          <w:sz w:val="24"/>
          <w:highlight w:val="none"/>
        </w:rPr>
        <w:t>乙  方</w:t>
      </w:r>
      <w:r>
        <w:rPr>
          <w:rFonts w:hint="eastAsia" w:ascii="宋体" w:hAnsi="宋体" w:cs="宋体"/>
          <w:bCs/>
          <w:sz w:val="24"/>
          <w:highlight w:val="none"/>
          <w:lang w:val="en-US" w:eastAsia="zh-CN"/>
        </w:rPr>
        <w:t>;</w:t>
      </w:r>
    </w:p>
    <w:p w14:paraId="32EAE9BF">
      <w:pPr>
        <w:pStyle w:val="8"/>
        <w:spacing w:line="360" w:lineRule="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（盖章）                             </w:t>
      </w:r>
      <w:r>
        <w:rPr>
          <w:rFonts w:hint="eastAsia" w:ascii="宋体" w:hAnsi="宋体" w:cs="宋体"/>
          <w:bCs/>
          <w:sz w:val="24"/>
          <w:highlight w:val="none"/>
        </w:rPr>
        <w:t>（盖章）</w:t>
      </w:r>
    </w:p>
    <w:p w14:paraId="53D553C9">
      <w:pPr>
        <w:pStyle w:val="8"/>
        <w:spacing w:line="360" w:lineRule="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联系人：                              联系人：</w:t>
      </w:r>
    </w:p>
    <w:p w14:paraId="2C6585B0">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p w14:paraId="5F9F224C">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供应商所在区域：</w:t>
      </w:r>
    </w:p>
    <w:p w14:paraId="161F3014">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供应商规模：</w:t>
      </w:r>
    </w:p>
    <w:p w14:paraId="3A7925F5">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供应商特性：</w:t>
      </w:r>
    </w:p>
    <w:p w14:paraId="55EB6CDA">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收款账户名称：</w:t>
      </w:r>
    </w:p>
    <w:p w14:paraId="59C76E44">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开户银行：</w:t>
      </w:r>
    </w:p>
    <w:p w14:paraId="536C8932">
      <w:pPr>
        <w:pStyle w:val="8"/>
        <w:spacing w:line="360" w:lineRule="auto"/>
        <w:ind w:left="0" w:leftChars="0" w:firstLine="4620" w:firstLineChars="1925"/>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银行账号：</w:t>
      </w:r>
    </w:p>
    <w:p w14:paraId="266DC641">
      <w:pPr>
        <w:pStyle w:val="8"/>
        <w:spacing w:line="360" w:lineRule="auto"/>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2025年  月  日                        2025年  月  日</w:t>
      </w:r>
    </w:p>
    <w:p w14:paraId="58E26C1C">
      <w:pPr>
        <w:rPr>
          <w:rFonts w:hint="eastAsia" w:ascii="宋体" w:hAnsi="宋体" w:cs="宋体"/>
          <w:bCs/>
          <w:sz w:val="24"/>
          <w:highlight w:val="none"/>
        </w:rPr>
      </w:pPr>
    </w:p>
    <w:p w14:paraId="5AAE6F97">
      <w:pPr>
        <w:rPr>
          <w:rFonts w:hint="eastAsia" w:ascii="宋体" w:hAnsi="宋体" w:cs="宋体"/>
          <w:bCs/>
          <w:sz w:val="24"/>
          <w:highlight w:val="none"/>
        </w:rPr>
      </w:pPr>
      <w:r>
        <w:rPr>
          <w:rFonts w:hint="eastAsia" w:ascii="宋体" w:hAnsi="宋体" w:cs="宋体"/>
          <w:bCs/>
          <w:sz w:val="24"/>
          <w:highlight w:val="none"/>
        </w:rPr>
        <w:t>备注：合同模板仅供参考，具体以实际签订合同为准。</w:t>
      </w:r>
    </w:p>
    <w:p w14:paraId="5308872C">
      <w:pPr>
        <w:pStyle w:val="8"/>
        <w:rPr>
          <w:rFonts w:hint="eastAsia" w:ascii="宋体" w:hAnsi="宋体" w:cs="宋体"/>
          <w:bCs/>
          <w:sz w:val="24"/>
          <w:highlight w:val="none"/>
        </w:rPr>
      </w:pPr>
    </w:p>
    <w:p w14:paraId="208557EB"/>
    <w:sectPr>
      <w:pgSz w:w="11906" w:h="16838"/>
      <w:pgMar w:top="1576" w:right="1157" w:bottom="1576" w:left="144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CBE91"/>
    <w:multiLevelType w:val="multilevel"/>
    <w:tmpl w:val="98CCBE91"/>
    <w:lvl w:ilvl="0" w:tentative="0">
      <w:start w:val="1"/>
      <w:numFmt w:val="decimal"/>
      <w:pStyle w:val="2"/>
      <w:lvlText w:val="%1."/>
      <w:lvlJc w:val="left"/>
      <w:pPr>
        <w:ind w:left="63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BA4F29C"/>
    <w:multiLevelType w:val="multilevel"/>
    <w:tmpl w:val="2BA4F29C"/>
    <w:lvl w:ilvl="0" w:tentative="0">
      <w:start w:val="1"/>
      <w:numFmt w:val="decimal"/>
      <w:lvlText w:val="%1."/>
      <w:lvlJc w:val="left"/>
      <w:pPr>
        <w:ind w:left="425" w:hanging="425"/>
      </w:pPr>
      <w:rPr>
        <w:rFonts w:hint="default"/>
      </w:rPr>
    </w:lvl>
    <w:lvl w:ilvl="1" w:tentative="0">
      <w:start w:val="1"/>
      <w:numFmt w:val="decimal"/>
      <w:pStyle w:val="3"/>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0000000"/>
    <w:rsid w:val="006771E2"/>
    <w:rsid w:val="00896503"/>
    <w:rsid w:val="066D42D3"/>
    <w:rsid w:val="0CE94221"/>
    <w:rsid w:val="0DB55CE6"/>
    <w:rsid w:val="0F03357B"/>
    <w:rsid w:val="11C0030A"/>
    <w:rsid w:val="143B4E61"/>
    <w:rsid w:val="17D139DA"/>
    <w:rsid w:val="18C02DF3"/>
    <w:rsid w:val="1A3B3E53"/>
    <w:rsid w:val="1A6C1075"/>
    <w:rsid w:val="1A7F1F36"/>
    <w:rsid w:val="1D4D34A5"/>
    <w:rsid w:val="1DEC48E3"/>
    <w:rsid w:val="1FFE1762"/>
    <w:rsid w:val="289E2909"/>
    <w:rsid w:val="2BB03CFC"/>
    <w:rsid w:val="2E952443"/>
    <w:rsid w:val="31DD6E12"/>
    <w:rsid w:val="3BF11008"/>
    <w:rsid w:val="3EE95947"/>
    <w:rsid w:val="425F469D"/>
    <w:rsid w:val="427069CA"/>
    <w:rsid w:val="44480FCE"/>
    <w:rsid w:val="547140E2"/>
    <w:rsid w:val="62440AA2"/>
    <w:rsid w:val="62CE0EE8"/>
    <w:rsid w:val="633810F8"/>
    <w:rsid w:val="6AA934FB"/>
    <w:rsid w:val="6E370736"/>
    <w:rsid w:val="6FE10ACA"/>
    <w:rsid w:val="70EF566F"/>
    <w:rsid w:val="71C532F7"/>
    <w:rsid w:val="737A15CC"/>
    <w:rsid w:val="76A07396"/>
    <w:rsid w:val="795F7B1D"/>
    <w:rsid w:val="79765100"/>
    <w:rsid w:val="7A063207"/>
    <w:rsid w:val="7AAE0F56"/>
    <w:rsid w:val="7F302632"/>
    <w:rsid w:val="7FA01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numPr>
        <w:ilvl w:val="0"/>
        <w:numId w:val="1"/>
      </w:numPr>
      <w:tabs>
        <w:tab w:val="left" w:pos="420"/>
      </w:tabs>
      <w:spacing w:before="340" w:beforeLines="0" w:beforeAutospacing="0" w:after="330" w:afterLines="0" w:afterAutospacing="0" w:line="240" w:lineRule="auto"/>
      <w:outlineLvl w:val="0"/>
    </w:pPr>
    <w:rPr>
      <w:rFonts w:ascii="Calibri" w:hAnsi="Calibri" w:eastAsia="宋体" w:cs="Arial"/>
      <w:snapToGrid w:val="0"/>
      <w:color w:val="000000"/>
      <w:kern w:val="44"/>
      <w:sz w:val="28"/>
      <w:szCs w:val="21"/>
    </w:rPr>
  </w:style>
  <w:style w:type="paragraph" w:styleId="3">
    <w:name w:val="heading 2"/>
    <w:basedOn w:val="1"/>
    <w:next w:val="4"/>
    <w:semiHidden/>
    <w:unhideWhenUsed/>
    <w:qFormat/>
    <w:uiPriority w:val="0"/>
    <w:pPr>
      <w:keepNext/>
      <w:keepLines/>
      <w:numPr>
        <w:ilvl w:val="1"/>
        <w:numId w:val="2"/>
      </w:numPr>
      <w:spacing w:before="20" w:after="20" w:line="240" w:lineRule="auto"/>
      <w:outlineLvl w:val="1"/>
    </w:pPr>
    <w:rPr>
      <w:rFonts w:ascii="Arial" w:hAnsi="Arial" w:eastAsia="仿宋" w:cs="Arial"/>
      <w:snapToGrid w:val="0"/>
      <w:color w:val="000000"/>
      <w:szCs w:val="21"/>
    </w:rPr>
  </w:style>
  <w:style w:type="paragraph" w:styleId="5">
    <w:name w:val="heading 3"/>
    <w:basedOn w:val="1"/>
    <w:next w:val="1"/>
    <w:semiHidden/>
    <w:unhideWhenUsed/>
    <w:qFormat/>
    <w:uiPriority w:val="0"/>
    <w:pPr>
      <w:keepNext/>
      <w:keepLines/>
      <w:spacing w:before="260" w:beforeLines="0" w:beforeAutospacing="0" w:after="260" w:afterLines="0" w:afterAutospacing="0" w:line="240" w:lineRule="auto"/>
      <w:outlineLvl w:val="2"/>
    </w:pPr>
    <w:rPr>
      <w:rFonts w:ascii="Arial" w:hAnsi="Arial" w:eastAsia="仿宋" w:cs="Arial"/>
      <w:snapToGrid w:val="0"/>
      <w:color w:val="000000"/>
      <w:szCs w:val="21"/>
    </w:rPr>
  </w:style>
  <w:style w:type="paragraph" w:styleId="6">
    <w:name w:val="heading 4"/>
    <w:basedOn w:val="1"/>
    <w:next w:val="1"/>
    <w:link w:val="14"/>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仿宋"/>
      <w:sz w:val="24"/>
      <w:szCs w:val="22"/>
      <w:lang w:val="zh-CN" w:bidi="zh-CN"/>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7">
    <w:name w:val="Body Text"/>
    <w:basedOn w:val="1"/>
    <w:qFormat/>
    <w:uiPriority w:val="0"/>
    <w:pPr>
      <w:spacing w:after="120" w:afterLines="0" w:afterAutospacing="0"/>
    </w:pPr>
  </w:style>
  <w:style w:type="paragraph" w:styleId="8">
    <w:name w:val="footer"/>
    <w:basedOn w:val="1"/>
    <w:qFormat/>
    <w:uiPriority w:val="99"/>
    <w:pPr>
      <w:tabs>
        <w:tab w:val="center" w:pos="4153"/>
        <w:tab w:val="right" w:pos="8306"/>
      </w:tabs>
      <w:snapToGrid w:val="0"/>
      <w:jc w:val="left"/>
    </w:pPr>
    <w:rPr>
      <w:sz w:val="18"/>
      <w:szCs w:val="20"/>
    </w:rPr>
  </w:style>
  <w:style w:type="paragraph" w:styleId="9">
    <w:name w:val="toc 1"/>
    <w:basedOn w:val="1"/>
    <w:next w:val="1"/>
    <w:qFormat/>
    <w:uiPriority w:val="39"/>
    <w:pPr>
      <w:tabs>
        <w:tab w:val="right" w:leader="dot" w:pos="9060"/>
      </w:tabs>
      <w:spacing w:line="360" w:lineRule="auto"/>
    </w:pPr>
    <w:rPr>
      <w:rFonts w:ascii="宋体" w:hAnsi="宋体" w:eastAsia="宋体"/>
      <w:b/>
      <w:sz w:val="24"/>
    </w:rPr>
  </w:style>
  <w:style w:type="paragraph" w:styleId="10">
    <w:name w:val="Body Text 2"/>
    <w:basedOn w:val="1"/>
    <w:qFormat/>
    <w:uiPriority w:val="0"/>
    <w:rPr>
      <w:rFonts w:ascii="楷体_GB2312" w:hAnsi="Copperplate Gothic Bold" w:eastAsia="楷体_GB2312"/>
      <w:sz w:val="2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4">
    <w:name w:val="标题 4 Char"/>
    <w:link w:val="6"/>
    <w:qFormat/>
    <w:uiPriority w:val="0"/>
    <w:rPr>
      <w:rFonts w:ascii="Arial" w:hAnsi="Arial" w:eastAsia="仿宋" w:cs="仿宋"/>
      <w:sz w:val="24"/>
      <w:szCs w:val="22"/>
      <w:lang w:val="zh-CN" w:bidi="zh-CN"/>
    </w:rPr>
  </w:style>
  <w:style w:type="character" w:customStyle="1" w:styleId="15">
    <w:name w:val="标题 1 字符"/>
    <w:link w:val="2"/>
    <w:qFormat/>
    <w:locked/>
    <w:uiPriority w:val="99"/>
    <w:rPr>
      <w:rFonts w:ascii="Calibri" w:hAnsi="Calibri" w:eastAsia="宋体" w:cs="Arial"/>
      <w:snapToGrid w:val="0"/>
      <w:color w:val="000000"/>
      <w:kern w:val="44"/>
      <w:sz w:val="28"/>
      <w:szCs w:val="21"/>
    </w:rPr>
  </w:style>
  <w:style w:type="paragraph" w:customStyle="1" w:styleId="16">
    <w:name w:val="Table Text"/>
    <w:basedOn w:val="1"/>
    <w:semiHidden/>
    <w:qFormat/>
    <w:uiPriority w:val="0"/>
    <w:rPr>
      <w:rFonts w:ascii="宋体" w:hAnsi="宋体" w:eastAsia="宋体" w:cs="宋体"/>
      <w:sz w:val="19"/>
      <w:szCs w:val="19"/>
      <w:lang w:val="en-US" w:eastAsia="en-US" w:bidi="ar-SA"/>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2999</Words>
  <Characters>3119</Characters>
  <Lines>0</Lines>
  <Paragraphs>0</Paragraphs>
  <TotalTime>3</TotalTime>
  <ScaleCrop>false</ScaleCrop>
  <LinksUpToDate>false</LinksUpToDate>
  <CharactersWithSpaces>3274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2021-12-02T00:41:00Z</dcterms:created>
  <dc:creator>Administrator</dc:creator>
  <cp:lastModifiedBy>乔公子</cp:lastModifiedBy>
  <dcterms:modified xsi:type="dcterms:W3CDTF">2025-07-02T02:45:48Z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8254D86A33CA46039E99497AB48817B3</vt:lpwstr>
  </property>
  <property fmtid="{D5CDD505-2E9C-101B-9397-08002B2CF9AE}" pid="4" name="KSOTemplateDocerSaveRecord">
    <vt:lpwstr>eyJoZGlkIjoiNGQ2MjljMThlMzEzYmM3OTVkNjUzNjhjY2Q1NmEwNjUiLCJ1c2VySWQiOiIxMDM1MzI2MTI3In0=</vt:lpwstr>
  </property>
</Properties>
</file>