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版本号：DQA-2025082-ZB20250701001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2025年陕西省全民所有自然资源资产清查</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DQA-2025082-ZB</w:t>
      </w:r>
      <w:r>
        <w:br/>
      </w:r>
      <w:r>
        <w:br/>
      </w:r>
      <w:r>
        <w:br/>
      </w:r>
    </w:p>
    <w:p>
      <w:pPr>
        <w:pStyle w:val="null3"/>
        <w:jc w:val="center"/>
        <w:outlineLvl w:val="2"/>
      </w:pPr>
      <w:r>
        <w:rPr>
          <w:rFonts w:ascii="仿宋_GB2312" w:hAnsi="仿宋_GB2312" w:cs="仿宋_GB2312" w:eastAsia="仿宋_GB2312"/>
          <w:sz w:val="28"/>
          <w:b/>
        </w:rPr>
        <w:t>陕西省自然资源厅</w:t>
      </w:r>
    </w:p>
    <w:p>
      <w:pPr>
        <w:pStyle w:val="null3"/>
        <w:jc w:val="center"/>
        <w:outlineLvl w:val="2"/>
      </w:pPr>
      <w:r>
        <w:rPr>
          <w:rFonts w:ascii="仿宋_GB2312" w:hAnsi="仿宋_GB2312" w:cs="仿宋_GB2312" w:eastAsia="仿宋_GB2312"/>
          <w:sz w:val="28"/>
          <w:b/>
        </w:rPr>
        <w:t>陕西德勤招标有限公司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2025年07月01日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陕西德勤招标有限公司</w:t>
      </w:r>
      <w:r>
        <w:rPr>
          <w:rFonts w:ascii="仿宋_GB2312" w:hAnsi="仿宋_GB2312" w:cs="仿宋_GB2312" w:eastAsia="仿宋_GB2312"/>
        </w:rPr>
        <w:t>（以下简称“代理机构”）受</w:t>
      </w:r>
      <w:r>
        <w:rPr>
          <w:rFonts w:ascii="仿宋_GB2312" w:hAnsi="仿宋_GB2312" w:cs="仿宋_GB2312" w:eastAsia="仿宋_GB2312"/>
        </w:rPr>
        <w:t>陕西省自然资源厅</w:t>
      </w:r>
      <w:r>
        <w:rPr>
          <w:rFonts w:ascii="仿宋_GB2312" w:hAnsi="仿宋_GB2312" w:cs="仿宋_GB2312" w:eastAsia="仿宋_GB2312"/>
        </w:rPr>
        <w:t>委托，拟对</w:t>
      </w:r>
      <w:r>
        <w:rPr>
          <w:rFonts w:ascii="仿宋_GB2312" w:hAnsi="仿宋_GB2312" w:cs="仿宋_GB2312" w:eastAsia="仿宋_GB2312"/>
        </w:rPr>
        <w:t>2025年陕西省全民所有自然资源资产清查</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DQA-2025082-ZB</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2025年陕西省全民所有自然资源资产清查</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摸清全省全民所有自然资源资产家底，夯实自然资源资产管理基础，服务2026年度国有自然资源资产管理情况专项报告和2024年度全民所有自然资源资产负债表编制等工作，根据自然资源部统一工作部署，陕西省自然资源厅组织开展全省全民所有土地、矿产、森林、草地、湿地、水等自然资源资产清查工作，目标是摸清各类资源实物量，建立和更新资产清查省级价格体系，核算资产价值量。</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1、营业执照等主体资格证明文件：提供有效存续的企业营业执照（副本）/事业单位法人证书/专业服务机构执业许可证/民办非企业单位登记证书等主体资格证明文件，自然人提供身份证明。</w:t>
      </w:r>
    </w:p>
    <w:p>
      <w:pPr>
        <w:pStyle w:val="null3"/>
      </w:pPr>
      <w:r>
        <w:rPr>
          <w:rFonts w:ascii="仿宋_GB2312" w:hAnsi="仿宋_GB2312" w:cs="仿宋_GB2312" w:eastAsia="仿宋_GB2312"/>
        </w:rPr>
        <w:t>2、财务状况报告：提供2023年度经审计的财务报告或2024年度经审计的财务报告（成立时间至提交投标文件截止时间不足一年的可提供成立后任意时段的资产负债表），或其递交投标文件截止之日前三个月内基本开户银行出具的资信证明(以上两种形式的资料提供任何一种即可）。</w:t>
      </w:r>
    </w:p>
    <w:p>
      <w:pPr>
        <w:pStyle w:val="null3"/>
      </w:pPr>
      <w:r>
        <w:rPr>
          <w:rFonts w:ascii="仿宋_GB2312" w:hAnsi="仿宋_GB2312" w:cs="仿宋_GB2312" w:eastAsia="仿宋_GB2312"/>
        </w:rPr>
        <w:t>3、书面声明：提供书面声明，包括声明具有履行合同所必需的设备和专业技术能力。</w:t>
      </w:r>
    </w:p>
    <w:p>
      <w:pPr>
        <w:pStyle w:val="null3"/>
      </w:pPr>
      <w:r>
        <w:rPr>
          <w:rFonts w:ascii="仿宋_GB2312" w:hAnsi="仿宋_GB2312" w:cs="仿宋_GB2312" w:eastAsia="仿宋_GB2312"/>
        </w:rPr>
        <w:t>4、社保缴纳证明：提供递交投标文件截止之日前一年内任意一个月的社会保障资金缴存单据或社保机构开具的社会保险参保缴费情况证明。依法不需要缴纳社会保障资金的投标供应商应提供相关证明文件。</w:t>
      </w:r>
    </w:p>
    <w:p>
      <w:pPr>
        <w:pStyle w:val="null3"/>
      </w:pPr>
      <w:r>
        <w:rPr>
          <w:rFonts w:ascii="仿宋_GB2312" w:hAnsi="仿宋_GB2312" w:cs="仿宋_GB2312" w:eastAsia="仿宋_GB2312"/>
        </w:rPr>
        <w:t>5、税收缴纳证明：提供递交投标文件截止之日前一年内任意一个月的依法缴纳税收的相关凭据（时间以税款所属日期为准、税种至少包含增值税或企业所得税），凭据应有税务机关或代收机关的公章或业务专用章。依法免税或无须缴纳税收的投标供应商，应提供相应证明文件。</w:t>
      </w:r>
    </w:p>
    <w:p>
      <w:pPr>
        <w:pStyle w:val="null3"/>
      </w:pPr>
      <w:r>
        <w:rPr>
          <w:rFonts w:ascii="仿宋_GB2312" w:hAnsi="仿宋_GB2312" w:cs="仿宋_GB2312" w:eastAsia="仿宋_GB2312"/>
        </w:rPr>
        <w:t>6、近三年无重大违法、违纪书面声明：提供《近三年无重大违法、违纪书面声明》。</w:t>
      </w:r>
    </w:p>
    <w:p>
      <w:pPr>
        <w:pStyle w:val="null3"/>
      </w:pPr>
      <w:r>
        <w:rPr>
          <w:rFonts w:ascii="仿宋_GB2312" w:hAnsi="仿宋_GB2312" w:cs="仿宋_GB2312" w:eastAsia="仿宋_GB2312"/>
        </w:rPr>
        <w:t>7、信用记录：投标供应商未被列入“信用中国”网站记录的“失信被执行人”或“重大税收违法失信主体”名单 ；不处于“中国政府采购网”记录的“政府采购严重违法失信行为记录名单”中的禁止参加政府采购活动期间。（以采购人或采购代理机构开标当天查询结果为准）。</w:t>
      </w:r>
    </w:p>
    <w:p>
      <w:pPr>
        <w:pStyle w:val="null3"/>
      </w:pPr>
      <w:r>
        <w:rPr>
          <w:rFonts w:ascii="仿宋_GB2312" w:hAnsi="仿宋_GB2312" w:cs="仿宋_GB2312" w:eastAsia="仿宋_GB2312"/>
        </w:rPr>
        <w:t>8、控股管理关系：提供直接控股和管理关系清单。若与其他投标供应商存在单位负责人为同一人或者存在直接控股、管理关系的，则投标无效。</w:t>
      </w:r>
    </w:p>
    <w:p>
      <w:pPr>
        <w:pStyle w:val="null3"/>
      </w:pPr>
      <w:r>
        <w:rPr>
          <w:rFonts w:ascii="仿宋_GB2312" w:hAnsi="仿宋_GB2312" w:cs="仿宋_GB2312" w:eastAsia="仿宋_GB2312"/>
        </w:rPr>
        <w:t>9、法定代表人授权委托书：法定代表人参加投标的，须提供本人身份证复印件（附在投标文件中）；法定代表人授权他人参加投标的，须提供法定代表人授权委托书。招标文件中凡是需要法定代表人盖章之处，非法人单位的负责人均参照执行。法人的分支机构参与投标时，除提供《法定代表人授权委托书》外，还须同时提供总公司给分支机构出具的授权书。</w:t>
      </w:r>
    </w:p>
    <w:p>
      <w:pPr>
        <w:pStyle w:val="null3"/>
      </w:pPr>
      <w:r>
        <w:rPr>
          <w:rFonts w:ascii="仿宋_GB2312" w:hAnsi="仿宋_GB2312" w:cs="仿宋_GB2312" w:eastAsia="仿宋_GB2312"/>
        </w:rPr>
        <w:t>10、本项目不接受联合体投标，不允许分包：投标供应商应提供《非联合体不分包投标声明》，视为独立投标，不分包。</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陕西省自然资源厅</w:t>
      </w:r>
    </w:p>
    <w:p>
      <w:pPr>
        <w:pStyle w:val="null3"/>
      </w:pPr>
      <w:r>
        <w:rPr>
          <w:rFonts w:ascii="仿宋_GB2312" w:hAnsi="仿宋_GB2312" w:cs="仿宋_GB2312" w:eastAsia="仿宋_GB2312"/>
        </w:rPr>
        <w:t xml:space="preserve"> 地址： </w:t>
      </w:r>
      <w:r>
        <w:rPr>
          <w:rFonts w:ascii="仿宋_GB2312" w:hAnsi="仿宋_GB2312" w:cs="仿宋_GB2312" w:eastAsia="仿宋_GB2312"/>
        </w:rPr>
        <w:t>劳动南路180号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马老师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029-88630853</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陕西德勤招标有限公司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陕西省西安市高新区丈八一路1号汇鑫中心D座2206室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贾旭鸣、王俊熙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029-81169855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采购包1保证金金额：60,000.00元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开户名称：陕西德勤招标有限公司</w:t>
            </w:r>
          </w:p>
          <w:p>
            <w:pPr>
              <w:pStyle w:val="null3"/>
            </w:pPr>
            <w:r>
              <w:rPr>
                <w:rFonts w:ascii="仿宋_GB2312" w:hAnsi="仿宋_GB2312" w:cs="仿宋_GB2312" w:eastAsia="仿宋_GB2312"/>
              </w:rPr>
              <w:t>开户银行：光大银行西安丈八东路支行</w:t>
            </w:r>
          </w:p>
          <w:p>
            <w:pPr>
              <w:pStyle w:val="null3"/>
            </w:pPr>
            <w:r>
              <w:rPr>
                <w:rFonts w:ascii="仿宋_GB2312" w:hAnsi="仿宋_GB2312" w:cs="仿宋_GB2312" w:eastAsia="仿宋_GB2312"/>
              </w:rPr>
              <w:t>银行账号：52880188000133739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按照国家发展计划委制定的《招标代理服务收费管理暂行办法》（计价格[2002]1980号）及国家发展改革委办公厅制定的《关于招标代理服务收费有关问题的通知》（发改办价格[2003]857号）等相关规定收取费用。</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陕西省自然资源厅</w:t>
      </w:r>
      <w:r>
        <w:rPr>
          <w:rFonts w:ascii="仿宋_GB2312" w:hAnsi="仿宋_GB2312" w:cs="仿宋_GB2312" w:eastAsia="仿宋_GB2312"/>
        </w:rPr>
        <w:t>和</w:t>
      </w:r>
      <w:r>
        <w:rPr>
          <w:rFonts w:ascii="仿宋_GB2312" w:hAnsi="仿宋_GB2312" w:cs="仿宋_GB2312" w:eastAsia="仿宋_GB2312"/>
        </w:rPr>
        <w:t>陕西德勤招标有限公司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陕西省自然资源厅</w:t>
      </w:r>
      <w:r>
        <w:rPr>
          <w:rFonts w:ascii="仿宋_GB2312" w:hAnsi="仿宋_GB2312" w:cs="仿宋_GB2312" w:eastAsia="仿宋_GB2312"/>
        </w:rPr>
        <w:t>负责解释。除上述招标文件内容，其他内容由</w:t>
      </w:r>
      <w:r>
        <w:rPr>
          <w:rFonts w:ascii="仿宋_GB2312" w:hAnsi="仿宋_GB2312" w:cs="仿宋_GB2312" w:eastAsia="仿宋_GB2312"/>
        </w:rPr>
        <w:t>陕西德勤招标有限公司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陕西省自然资源厅</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陕西德勤招标有限公司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陕西德勤招标有限公司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陕西德勤招标有限公司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联系人：贾旭鸣</w:t>
      </w:r>
    </w:p>
    <w:p>
      <w:pPr>
        <w:pStyle w:val="null3"/>
      </w:pPr>
      <w:r>
        <w:rPr>
          <w:rFonts w:ascii="仿宋_GB2312" w:hAnsi="仿宋_GB2312" w:cs="仿宋_GB2312" w:eastAsia="仿宋_GB2312"/>
        </w:rPr>
        <w:t>联系电话：029-81169855</w:t>
      </w:r>
    </w:p>
    <w:p>
      <w:pPr>
        <w:pStyle w:val="null3"/>
      </w:pPr>
      <w:r>
        <w:rPr>
          <w:rFonts w:ascii="仿宋_GB2312" w:hAnsi="仿宋_GB2312" w:cs="仿宋_GB2312" w:eastAsia="仿宋_GB2312"/>
        </w:rPr>
        <w:t>地址：陕西省西安市高新区丈八一路1号汇鑫中心D座2206室</w:t>
      </w:r>
    </w:p>
    <w:p>
      <w:pPr>
        <w:pStyle w:val="null3"/>
      </w:pPr>
      <w:r>
        <w:rPr>
          <w:rFonts w:ascii="仿宋_GB2312" w:hAnsi="仿宋_GB2312" w:cs="仿宋_GB2312" w:eastAsia="仿宋_GB2312"/>
        </w:rPr>
        <w:t>邮编：710065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摸清全省全民所有自然资源资产家底，夯实自然资源资产管理基础，服务2026年度国有自然资源资产管理情况专项报告和2024年度全民所有自然资源资产负债表编制等工作，根据自然资源部统一工作部署，陕西省自然资源厅组织开展全省全民所有土地、矿产、森林、草地、湿地、水等自然资源资产清查工作，目标是摸清各类资源实物量，建立和更新资产清查省级价格体系，核算资产价值量。</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6,000,000.00</w:t>
      </w:r>
    </w:p>
    <w:p>
      <w:pPr>
        <w:pStyle w:val="null3"/>
      </w:pPr>
      <w:r>
        <w:rPr>
          <w:rFonts w:ascii="仿宋_GB2312" w:hAnsi="仿宋_GB2312" w:cs="仿宋_GB2312" w:eastAsia="仿宋_GB2312"/>
        </w:rPr>
        <w:t>采购包最高限价（元）: 6,000,000.00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2025年陕西省全民所有自然资源资产清查项目</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标的名称：2025年陕西省全民所有自然资源资产清查项目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80"/>
              <w:jc w:val="left"/>
            </w:pPr>
            <w:r>
              <w:rPr>
                <w:rFonts w:ascii="仿宋_GB2312" w:hAnsi="仿宋_GB2312" w:cs="仿宋_GB2312" w:eastAsia="仿宋_GB2312"/>
                <w:sz w:val="24"/>
                <w:b/>
                <w:color w:val="000000"/>
              </w:rPr>
              <w:t>1.</w:t>
            </w:r>
            <w:r>
              <w:rPr>
                <w:rFonts w:ascii="仿宋_GB2312" w:hAnsi="仿宋_GB2312" w:cs="仿宋_GB2312" w:eastAsia="仿宋_GB2312"/>
                <w:sz w:val="24"/>
                <w:b/>
                <w:color w:val="000000"/>
              </w:rPr>
              <w:t>具体工作内容：</w:t>
            </w:r>
          </w:p>
          <w:p>
            <w:pPr>
              <w:pStyle w:val="null3"/>
              <w:ind w:firstLine="480"/>
              <w:jc w:val="left"/>
            </w:pPr>
            <w:r>
              <w:rPr>
                <w:rFonts w:ascii="仿宋_GB2312" w:hAnsi="仿宋_GB2312" w:cs="仿宋_GB2312" w:eastAsia="仿宋_GB2312"/>
                <w:sz w:val="24"/>
                <w:color w:val="000000"/>
              </w:rPr>
              <w:t>查清</w:t>
            </w:r>
            <w:r>
              <w:rPr>
                <w:rFonts w:ascii="仿宋_GB2312" w:hAnsi="仿宋_GB2312" w:cs="仿宋_GB2312" w:eastAsia="仿宋_GB2312"/>
                <w:sz w:val="24"/>
                <w:color w:val="000000"/>
              </w:rPr>
              <w:t>省级管理的</w:t>
            </w:r>
            <w:r>
              <w:rPr>
                <w:rFonts w:ascii="仿宋_GB2312" w:hAnsi="仿宋_GB2312" w:cs="仿宋_GB2312" w:eastAsia="仿宋_GB2312"/>
                <w:sz w:val="24"/>
                <w:color w:val="000000"/>
              </w:rPr>
              <w:t>15</w:t>
            </w:r>
            <w:r>
              <w:rPr>
                <w:rFonts w:ascii="仿宋_GB2312" w:hAnsi="仿宋_GB2312" w:cs="仿宋_GB2312" w:eastAsia="仿宋_GB2312"/>
                <w:sz w:val="24"/>
                <w:color w:val="000000"/>
              </w:rPr>
              <w:t>种矿产</w:t>
            </w:r>
            <w:r>
              <w:rPr>
                <w:rFonts w:ascii="仿宋_GB2312" w:hAnsi="仿宋_GB2312" w:cs="仿宋_GB2312" w:eastAsia="仿宋_GB2312"/>
                <w:sz w:val="24"/>
                <w:color w:val="000000"/>
              </w:rPr>
              <w:t>资源</w:t>
            </w:r>
            <w:r>
              <w:rPr>
                <w:rFonts w:ascii="仿宋_GB2312" w:hAnsi="仿宋_GB2312" w:cs="仿宋_GB2312" w:eastAsia="仿宋_GB2312"/>
                <w:sz w:val="24"/>
                <w:color w:val="000000"/>
              </w:rPr>
              <w:t>实物量</w:t>
            </w:r>
            <w:r>
              <w:rPr>
                <w:rFonts w:ascii="仿宋_GB2312" w:hAnsi="仿宋_GB2312" w:cs="仿宋_GB2312" w:eastAsia="仿宋_GB2312"/>
                <w:sz w:val="24"/>
                <w:color w:val="000000"/>
              </w:rPr>
              <w:t>，</w:t>
            </w:r>
            <w:r>
              <w:rPr>
                <w:rFonts w:ascii="仿宋_GB2312" w:hAnsi="仿宋_GB2312" w:cs="仿宋_GB2312" w:eastAsia="仿宋_GB2312"/>
                <w:sz w:val="24"/>
                <w:color w:val="000000"/>
              </w:rPr>
              <w:t>核算价值量，理清</w:t>
            </w:r>
            <w:r>
              <w:rPr>
                <w:rFonts w:ascii="仿宋_GB2312" w:hAnsi="仿宋_GB2312" w:cs="仿宋_GB2312" w:eastAsia="仿宋_GB2312"/>
                <w:sz w:val="24"/>
                <w:color w:val="000000"/>
              </w:rPr>
              <w:t>使用权状况</w:t>
            </w:r>
            <w:r>
              <w:rPr>
                <w:rFonts w:ascii="仿宋_GB2312" w:hAnsi="仿宋_GB2312" w:cs="仿宋_GB2312" w:eastAsia="仿宋_GB2312"/>
                <w:sz w:val="24"/>
                <w:color w:val="000000"/>
              </w:rPr>
              <w:t>。</w:t>
            </w:r>
            <w:r>
              <w:rPr>
                <w:rFonts w:ascii="仿宋_GB2312" w:hAnsi="仿宋_GB2312" w:cs="仿宋_GB2312" w:eastAsia="仿宋_GB2312"/>
                <w:sz w:val="24"/>
                <w:color w:val="000000"/>
              </w:rPr>
              <w:t>查清全省水资源实物量。完善全省全民所有土地、矿产、森林、草原等</w:t>
            </w:r>
            <w:r>
              <w:rPr>
                <w:rFonts w:ascii="仿宋_GB2312" w:hAnsi="仿宋_GB2312" w:cs="仿宋_GB2312" w:eastAsia="仿宋_GB2312"/>
                <w:sz w:val="24"/>
                <w:color w:val="000000"/>
              </w:rPr>
              <w:t>4</w:t>
            </w:r>
            <w:r>
              <w:rPr>
                <w:rFonts w:ascii="仿宋_GB2312" w:hAnsi="仿宋_GB2312" w:cs="仿宋_GB2312" w:eastAsia="仿宋_GB2312"/>
                <w:sz w:val="24"/>
                <w:color w:val="000000"/>
              </w:rPr>
              <w:t>类资源资产清查价格体系。汇总</w:t>
            </w:r>
            <w:r>
              <w:rPr>
                <w:rFonts w:ascii="仿宋_GB2312" w:hAnsi="仿宋_GB2312" w:cs="仿宋_GB2312" w:eastAsia="仿宋_GB2312"/>
                <w:sz w:val="24"/>
                <w:color w:val="000000"/>
              </w:rPr>
              <w:t>并</w:t>
            </w:r>
            <w:r>
              <w:rPr>
                <w:rFonts w:ascii="仿宋_GB2312" w:hAnsi="仿宋_GB2312" w:cs="仿宋_GB2312" w:eastAsia="仿宋_GB2312"/>
                <w:sz w:val="24"/>
                <w:color w:val="000000"/>
              </w:rPr>
              <w:t>复检全省</w:t>
            </w:r>
            <w:r>
              <w:rPr>
                <w:rFonts w:ascii="仿宋_GB2312" w:hAnsi="仿宋_GB2312" w:cs="仿宋_GB2312" w:eastAsia="仿宋_GB2312"/>
                <w:sz w:val="24"/>
                <w:color w:val="000000"/>
              </w:rPr>
              <w:t>市、县级</w:t>
            </w:r>
            <w:r>
              <w:rPr>
                <w:rFonts w:ascii="仿宋_GB2312" w:hAnsi="仿宋_GB2312" w:cs="仿宋_GB2312" w:eastAsia="仿宋_GB2312"/>
                <w:sz w:val="24"/>
                <w:color w:val="000000"/>
              </w:rPr>
              <w:t>资产清查成果。探索资产清查成果应用</w:t>
            </w:r>
            <w:r>
              <w:rPr>
                <w:rFonts w:ascii="仿宋_GB2312" w:hAnsi="仿宋_GB2312" w:cs="仿宋_GB2312" w:eastAsia="仿宋_GB2312"/>
                <w:sz w:val="24"/>
                <w:color w:val="000000"/>
              </w:rPr>
              <w:t>（</w:t>
            </w:r>
            <w:r>
              <w:rPr>
                <w:rFonts w:ascii="仿宋_GB2312" w:hAnsi="仿宋_GB2312" w:cs="仿宋_GB2312" w:eastAsia="仿宋_GB2312"/>
                <w:sz w:val="24"/>
                <w:color w:val="000000"/>
              </w:rPr>
              <w:t>如，不限于在资产管理考核评价、资本核算、资产配置方案计划等方向开展探索</w:t>
            </w:r>
            <w:r>
              <w:rPr>
                <w:rFonts w:ascii="仿宋_GB2312" w:hAnsi="仿宋_GB2312" w:cs="仿宋_GB2312" w:eastAsia="仿宋_GB2312"/>
                <w:sz w:val="24"/>
                <w:color w:val="000000"/>
              </w:rPr>
              <w:t>）</w:t>
            </w:r>
            <w:r>
              <w:rPr>
                <w:rFonts w:ascii="仿宋_GB2312" w:hAnsi="仿宋_GB2312" w:cs="仿宋_GB2312" w:eastAsia="仿宋_GB2312"/>
                <w:sz w:val="24"/>
                <w:color w:val="000000"/>
              </w:rPr>
              <w:t>。编制</w:t>
            </w:r>
            <w:r>
              <w:rPr>
                <w:rFonts w:ascii="仿宋_GB2312" w:hAnsi="仿宋_GB2312" w:cs="仿宋_GB2312" w:eastAsia="仿宋_GB2312"/>
                <w:sz w:val="24"/>
                <w:color w:val="000000"/>
              </w:rPr>
              <w:t>2024</w:t>
            </w:r>
            <w:r>
              <w:rPr>
                <w:rFonts w:ascii="仿宋_GB2312" w:hAnsi="仿宋_GB2312" w:cs="仿宋_GB2312" w:eastAsia="仿宋_GB2312"/>
                <w:sz w:val="24"/>
                <w:color w:val="000000"/>
              </w:rPr>
              <w:t>年度全民所有自然资源资产负债表</w:t>
            </w:r>
            <w:r>
              <w:rPr>
                <w:rFonts w:ascii="仿宋_GB2312" w:hAnsi="仿宋_GB2312" w:cs="仿宋_GB2312" w:eastAsia="仿宋_GB2312"/>
                <w:sz w:val="24"/>
                <w:color w:val="000000"/>
              </w:rPr>
              <w:t>。</w:t>
            </w:r>
            <w:r>
              <w:rPr>
                <w:rFonts w:ascii="仿宋_GB2312" w:hAnsi="仿宋_GB2312" w:cs="仿宋_GB2312" w:eastAsia="仿宋_GB2312"/>
                <w:sz w:val="24"/>
                <w:color w:val="000000"/>
              </w:rPr>
              <w:t>统筹和指导</w:t>
            </w:r>
            <w:r>
              <w:rPr>
                <w:rFonts w:ascii="仿宋_GB2312" w:hAnsi="仿宋_GB2312" w:cs="仿宋_GB2312" w:eastAsia="仿宋_GB2312"/>
                <w:sz w:val="24"/>
                <w:color w:val="000000"/>
              </w:rPr>
              <w:t>市县级开展</w:t>
            </w:r>
            <w:r>
              <w:rPr>
                <w:rFonts w:ascii="仿宋_GB2312" w:hAnsi="仿宋_GB2312" w:cs="仿宋_GB2312" w:eastAsia="仿宋_GB2312"/>
                <w:sz w:val="24"/>
                <w:color w:val="000000"/>
              </w:rPr>
              <w:t>资产清查工作</w:t>
            </w:r>
            <w:r>
              <w:rPr>
                <w:rFonts w:ascii="仿宋_GB2312" w:hAnsi="仿宋_GB2312" w:cs="仿宋_GB2312" w:eastAsia="仿宋_GB2312"/>
                <w:sz w:val="24"/>
                <w:color w:val="000000"/>
              </w:rPr>
              <w:t>（如，包括但不限于</w:t>
            </w:r>
            <w:r>
              <w:rPr>
                <w:rFonts w:ascii="仿宋_GB2312" w:hAnsi="仿宋_GB2312" w:cs="仿宋_GB2312" w:eastAsia="仿宋_GB2312"/>
                <w:sz w:val="24"/>
                <w:color w:val="000000"/>
              </w:rPr>
              <w:t>技术</w:t>
            </w:r>
            <w:r>
              <w:rPr>
                <w:rFonts w:ascii="仿宋_GB2312" w:hAnsi="仿宋_GB2312" w:cs="仿宋_GB2312" w:eastAsia="仿宋_GB2312"/>
                <w:sz w:val="24"/>
                <w:color w:val="000000"/>
              </w:rPr>
              <w:t>培训和技术督导）</w:t>
            </w:r>
            <w:r>
              <w:rPr>
                <w:rFonts w:ascii="仿宋_GB2312" w:hAnsi="仿宋_GB2312" w:cs="仿宋_GB2312" w:eastAsia="仿宋_GB2312"/>
                <w:sz w:val="24"/>
                <w:color w:val="000000"/>
              </w:rPr>
              <w:t>。</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ind w:firstLine="480"/>
              <w:jc w:val="left"/>
            </w:pPr>
            <w:r>
              <w:rPr>
                <w:rFonts w:ascii="仿宋_GB2312" w:hAnsi="仿宋_GB2312" w:cs="仿宋_GB2312" w:eastAsia="仿宋_GB2312"/>
                <w:sz w:val="24"/>
                <w:b/>
                <w:color w:val="000000"/>
              </w:rPr>
              <w:t>2.</w:t>
            </w:r>
            <w:r>
              <w:rPr>
                <w:rFonts w:ascii="仿宋_GB2312" w:hAnsi="仿宋_GB2312" w:cs="仿宋_GB2312" w:eastAsia="仿宋_GB2312"/>
                <w:sz w:val="24"/>
                <w:b/>
                <w:color w:val="000000"/>
              </w:rPr>
              <w:t>技术要求：</w:t>
            </w:r>
          </w:p>
          <w:p>
            <w:pPr>
              <w:pStyle w:val="null3"/>
              <w:ind w:firstLine="480"/>
              <w:jc w:val="left"/>
            </w:pPr>
            <w:r>
              <w:rPr>
                <w:rFonts w:ascii="仿宋_GB2312" w:hAnsi="仿宋_GB2312" w:cs="仿宋_GB2312" w:eastAsia="仿宋_GB2312"/>
                <w:sz w:val="24"/>
                <w:color w:val="000000"/>
              </w:rPr>
              <w:t>满足《全民所有自然资源资产清查技术指南》相关要求。</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ind w:firstLine="480"/>
              <w:jc w:val="left"/>
            </w:pPr>
            <w:r>
              <w:rPr>
                <w:rFonts w:ascii="仿宋_GB2312" w:hAnsi="仿宋_GB2312" w:cs="仿宋_GB2312" w:eastAsia="仿宋_GB2312"/>
                <w:sz w:val="24"/>
                <w:b/>
                <w:color w:val="000000"/>
              </w:rPr>
              <w:t>3.</w:t>
            </w:r>
            <w:r>
              <w:rPr>
                <w:rFonts w:ascii="仿宋_GB2312" w:hAnsi="仿宋_GB2312" w:cs="仿宋_GB2312" w:eastAsia="仿宋_GB2312"/>
                <w:sz w:val="24"/>
                <w:b/>
                <w:color w:val="000000"/>
              </w:rPr>
              <w:t>成果要求：</w:t>
            </w:r>
          </w:p>
          <w:p>
            <w:pPr>
              <w:pStyle w:val="null3"/>
              <w:ind w:firstLine="480"/>
              <w:jc w:val="left"/>
            </w:pPr>
            <w:r>
              <w:rPr>
                <w:rFonts w:ascii="仿宋_GB2312" w:hAnsi="仿宋_GB2312" w:cs="仿宋_GB2312" w:eastAsia="仿宋_GB2312"/>
                <w:sz w:val="24"/>
                <w:color w:val="000000"/>
              </w:rPr>
              <w:t>文字成果包括陕西省矿产资源清查价格体系更新报告；陕西省全民所有自然资源资产清查工作报告；</w:t>
            </w:r>
            <w:r>
              <w:rPr>
                <w:rFonts w:ascii="仿宋_GB2312" w:hAnsi="仿宋_GB2312" w:cs="仿宋_GB2312" w:eastAsia="仿宋_GB2312"/>
                <w:sz w:val="24"/>
                <w:color w:val="000000"/>
              </w:rPr>
              <w:t>2024年度陕西省全民所有自然资源资产负债表编制工作报告。数据成果包括省级资产清查成果数据库；全省全民所有农用地、建设用地、未利用地、未确定使用权人国有建设用地、矿产资源、森林资源、草原资源、湿地资源、水资源资产清查数据；</w:t>
            </w:r>
          </w:p>
          <w:p>
            <w:pPr>
              <w:pStyle w:val="null3"/>
              <w:ind w:firstLine="480"/>
              <w:jc w:val="left"/>
            </w:pPr>
            <w:r>
              <w:rPr>
                <w:rFonts w:ascii="仿宋_GB2312" w:hAnsi="仿宋_GB2312" w:cs="仿宋_GB2312" w:eastAsia="仿宋_GB2312"/>
                <w:sz w:val="24"/>
                <w:color w:val="000000"/>
              </w:rPr>
              <w:t>全民所有农用地、建设用地、矿产、森林、草原资源资产清查价格数据；陕西省全民所有自然资源资产负债表（</w:t>
            </w:r>
            <w:r>
              <w:rPr>
                <w:rFonts w:ascii="仿宋_GB2312" w:hAnsi="仿宋_GB2312" w:cs="仿宋_GB2312" w:eastAsia="仿宋_GB2312"/>
                <w:sz w:val="24"/>
                <w:color w:val="000000"/>
              </w:rPr>
              <w:t>2024年度）。</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投标供应商须提供针对本项目的详细人员配备情况。要求拟派项目成员相关专业人员搭配合理、职能健全，岗位分工明确、职责清晰，包括人员配备情况及水平、人员安排、专业配置、从业经历、参与工作经验等方面，均应满足本项目采购需求。</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提供具有履行本合同所必需的设施设备。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1.知识产权归属和处理方式： （1）知识产权归属：本项目产生的专利、商标、著作权等所有知识产权均归采购人，中标人需在知识产权产生后 15 个工作日内提交资料并协助办理相关手续。 （2）使用限制：中标人仅可在合同约定范围内使用相关知识产权及技术资料，如需用于其他目的，须提前 10 个工作日获采购人书面同意。 （3）侵权责任：中标人侵犯采购人或第三方知识产权，采购人有权要求立即停止侵权、消除影响、赔偿全部损失（含维权费用），并支付合同金额 20% 的违约金，情节严重可解除合同。 （4）技术资料管理：中标人提供的技术资料使用权归采购人，合同终止后 10 个工作日内，中标人需返还或按要求销毁资料，并提供证明。 （5）争议解决：因本条款产生争议，先协商；协商不成，向采购人所在地法院诉讼。 2.质保要求 供应商提供的所有文字成果和数据成果自验收合格之日起6个月。</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合同签订后6个月内</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供应商按照采购方要求提交各阶段工作成果，最终成果经部、省有关专家评审论证后，报送自然资源部相关直属单位。</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合同生效后10日内，供应商向采购方开具正规发票</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90.00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项目数据成果通过部、省有关专家评审论证后</w:t>
      </w:r>
      <w:r>
        <w:rPr>
          <w:rFonts w:ascii="仿宋_GB2312" w:hAnsi="仿宋_GB2312" w:cs="仿宋_GB2312" w:eastAsia="仿宋_GB2312"/>
        </w:rPr>
        <w:t xml:space="preserve"> ，达到付款条件起 </w:t>
      </w:r>
      <w:r>
        <w:rPr>
          <w:rFonts w:ascii="仿宋_GB2312" w:hAnsi="仿宋_GB2312" w:cs="仿宋_GB2312" w:eastAsia="仿宋_GB2312"/>
        </w:rPr>
        <w:t>10</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详见合同约定</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1）供应商需要在线提交所有通过电子化交易平台实施的政府采购项目的投标文件，同时，线下提交纸质投标文件正本壹份、副本壹份。若电子投标文件与纸质投标文件不一致的，以电子投标文件为准。（2）投标文件，正、副本分别各自装订成册密封。在封口处加盖供应商公章。（3）线下投标文件递交截止时间与线上开评标时间一致。（4）纸质投标文件可邮寄递交，应于递交投标文件截止时间前邮寄到西安市高新区丈八一路1号汇鑫中心D座2206室（陕西德勤招标有限公司）。 2、投标保证金注意事项：（1）投标保证金须从投标供应商户名支付，如从个人户名或非投标供应商户名支付，将被拒绝，视为自动放弃投标权利（该个人是投标供应商的情形除外）；以保函形式交纳投标保证金的，投标供应商应在投标截止时间前将保函扫描成清晰的PDF文件，发送至邮箱deqinjxm@126.com（邮件命名：项目编号）；投标供应商应在投标文件中附保函扫描件。保函必须由具有开具投标保函资格的单位开具；若中标人违约，开具保函单位承担连带责任；（2）投标保证金的提交金额、时间不满足招标文件要求的，投标无效；（3）未按指定账户提交的，我公司将退回，投标供应商须在文件递交截止时间前按照指定账户再次提交。 3、合同价款：合同总价一次性包死，不受市场价格变化因素的影响。除本合同总金额外，采购人不再支付任何其他费用。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2023年度经审计的财务报告或2024年度经审计的财务报告（成立时间至提交投标文件截止时间不足一年的可提供成立后任意时段的资产负债表），或其开标前三个月内基本开户银行出具的资信证明（以上两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提供有效存续的企业营业执照（副本）/事业单位法人证书/专业服务机构执业许可证/民办非企业单位登记证书等主体资格证明文件，自然人提供身份证明。</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2023年度经审计的财务报告或2024年度经审计的财务报告（成立时间至提交投标文件截止时间不足一年的可提供成立后任意时段的资产负债表），或其递交投标文件截止之日前三个月内基本开户银行出具的资信证明(以上两种形式的资料提供任何一种即可）。</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提供书面声明，包括声明具有履行合同所必需的设备和专业技术能力。</w:t>
            </w:r>
          </w:p>
        </w:tc>
        <w:tc>
          <w:tcPr>
            <w:tcW w:type="dxa" w:w="1661"/>
          </w:tcPr>
          <w:p>
            <w:pPr>
              <w:pStyle w:val="null3"/>
            </w:pPr>
            <w:r>
              <w:rPr>
                <w:rFonts w:ascii="仿宋_GB2312" w:hAnsi="仿宋_GB2312" w:cs="仿宋_GB2312" w:eastAsia="仿宋_GB2312"/>
              </w:rPr>
              <w:t>书面声明</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社保缴纳证明</w:t>
            </w:r>
          </w:p>
        </w:tc>
        <w:tc>
          <w:tcPr>
            <w:tcW w:type="dxa" w:w="3322"/>
          </w:tcPr>
          <w:p>
            <w:pPr>
              <w:pStyle w:val="null3"/>
            </w:pPr>
            <w:r>
              <w:rPr>
                <w:rFonts w:ascii="仿宋_GB2312" w:hAnsi="仿宋_GB2312" w:cs="仿宋_GB2312" w:eastAsia="仿宋_GB2312"/>
              </w:rPr>
              <w:t>提供递交投标文件截止之日前一年内任意一个月的社会保障资金缴存单据或社保机构开具的社会保险参保缴费情况证明。依法不需要缴纳社会保障资金的投标供应商应提供相关证明文件。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递交投标文件截止之日前一年内任意一个月的依法缴纳税收的相关凭据（时间以税款所属日期为准、税种至少包含增值税或企业所得税），凭据应有税务机关或代收机关的公章或业务专用章。依法免税或无须缴纳税收的投标供应商，应提供相应证明文件。</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近三年无重大违法、违纪书面声明</w:t>
            </w:r>
          </w:p>
        </w:tc>
        <w:tc>
          <w:tcPr>
            <w:tcW w:type="dxa" w:w="3322"/>
          </w:tcPr>
          <w:p>
            <w:pPr>
              <w:pStyle w:val="null3"/>
            </w:pPr>
            <w:r>
              <w:rPr>
                <w:rFonts w:ascii="仿宋_GB2312" w:hAnsi="仿宋_GB2312" w:cs="仿宋_GB2312" w:eastAsia="仿宋_GB2312"/>
              </w:rPr>
              <w:t>提供《近三年无重大违法、违纪书面声明》。</w:t>
            </w:r>
          </w:p>
        </w:tc>
        <w:tc>
          <w:tcPr>
            <w:tcW w:type="dxa" w:w="1661"/>
          </w:tcPr>
          <w:p>
            <w:pPr>
              <w:pStyle w:val="null3"/>
            </w:pPr>
            <w:r>
              <w:rPr>
                <w:rFonts w:ascii="仿宋_GB2312" w:hAnsi="仿宋_GB2312" w:cs="仿宋_GB2312" w:eastAsia="仿宋_GB2312"/>
              </w:rPr>
              <w:t>近三年无重大违法、违纪书面声明</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投标供应商未被列入“信用中国”网站记录的“失信被执行人”或“重大税收违法失信主体”名单 ；不处于“中国政府采购网”记录的“政府采购严重违法失信行为记录名单”中的禁止参加政府采购活动期间。（以采购人或采购代理机构开标当天查询结果为准）。</w:t>
            </w:r>
          </w:p>
        </w:tc>
        <w:tc>
          <w:tcPr>
            <w:tcW w:type="dxa" w:w="1661"/>
          </w:tcPr>
          <w:p>
            <w:pPr>
              <w:pStyle w:val="null3"/>
            </w:pPr>
            <w:r>
              <w:rPr>
                <w:rFonts w:ascii="仿宋_GB2312" w:hAnsi="仿宋_GB2312" w:cs="仿宋_GB2312" w:eastAsia="仿宋_GB2312"/>
              </w:rPr>
              <w:t>投标人应提交的相关资格证明材料</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控股管理关系</w:t>
            </w:r>
          </w:p>
        </w:tc>
        <w:tc>
          <w:tcPr>
            <w:tcW w:type="dxa" w:w="3322"/>
          </w:tcPr>
          <w:p>
            <w:pPr>
              <w:pStyle w:val="null3"/>
            </w:pPr>
            <w:r>
              <w:rPr>
                <w:rFonts w:ascii="仿宋_GB2312" w:hAnsi="仿宋_GB2312" w:cs="仿宋_GB2312" w:eastAsia="仿宋_GB2312"/>
              </w:rPr>
              <w:t>提供直接控股和管理关系清单。若与其他投标供应商存在单位负责人为同一人或者存在直接控股、管理关系的，则投标无效。</w:t>
            </w:r>
          </w:p>
        </w:tc>
        <w:tc>
          <w:tcPr>
            <w:tcW w:type="dxa" w:w="1661"/>
          </w:tcPr>
          <w:p>
            <w:pPr>
              <w:pStyle w:val="null3"/>
            </w:pPr>
            <w:r>
              <w:rPr>
                <w:rFonts w:ascii="仿宋_GB2312" w:hAnsi="仿宋_GB2312" w:cs="仿宋_GB2312" w:eastAsia="仿宋_GB2312"/>
              </w:rPr>
              <w:t>控股管理关系</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本人身份证复印件（附在投标文件中）；法定代表人授权他人参加投标的，须提供法定代表人授权委托书。招标文件中凡是需要法定代表人盖章之处，非法人单位的负责人均参照执行。法人的分支机构参与投标时，除提供《法定代表人授权委托书》外，还须同时提供总公司给分支机构出具的授权书。</w:t>
            </w:r>
          </w:p>
        </w:tc>
        <w:tc>
          <w:tcPr>
            <w:tcW w:type="dxa" w:w="1661"/>
          </w:tcPr>
          <w:p>
            <w:pPr>
              <w:pStyle w:val="null3"/>
            </w:pPr>
            <w:r>
              <w:rPr>
                <w:rFonts w:ascii="仿宋_GB2312" w:hAnsi="仿宋_GB2312" w:cs="仿宋_GB2312" w:eastAsia="仿宋_GB2312"/>
              </w:rPr>
              <w:t>法定代表人授权书</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本项目不接受联合体投标，不允许分包</w:t>
            </w:r>
          </w:p>
        </w:tc>
        <w:tc>
          <w:tcPr>
            <w:tcW w:type="dxa" w:w="3322"/>
          </w:tcPr>
          <w:p>
            <w:pPr>
              <w:pStyle w:val="null3"/>
            </w:pPr>
            <w:r>
              <w:rPr>
                <w:rFonts w:ascii="仿宋_GB2312" w:hAnsi="仿宋_GB2312" w:cs="仿宋_GB2312" w:eastAsia="仿宋_GB2312"/>
              </w:rPr>
              <w:t>投标供应商应提供《非联合体不分包投标声明》，视为独立投标，不分包。</w:t>
            </w:r>
          </w:p>
        </w:tc>
        <w:tc>
          <w:tcPr>
            <w:tcW w:type="dxa" w:w="1661"/>
          </w:tcPr>
          <w:p>
            <w:pPr>
              <w:pStyle w:val="null3"/>
            </w:pPr>
            <w:r>
              <w:rPr>
                <w:rFonts w:ascii="仿宋_GB2312" w:hAnsi="仿宋_GB2312" w:cs="仿宋_GB2312" w:eastAsia="仿宋_GB2312"/>
              </w:rPr>
              <w:t>非联合体不分包投标声明</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资格审查要求概况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 xml:space="preserve"> 序号</w:t>
            </w:r>
          </w:p>
        </w:tc>
        <w:tc>
          <w:tcPr>
            <w:tcW w:type="dxa" w:w="2492"/>
          </w:tcPr>
          <w:p>
            <w:pPr>
              <w:pStyle w:val="null3"/>
            </w:pPr>
            <w:r>
              <w:rPr>
                <w:rFonts w:ascii="仿宋_GB2312" w:hAnsi="仿宋_GB2312" w:cs="仿宋_GB2312" w:eastAsia="仿宋_GB2312"/>
              </w:rPr>
              <w:t xml:space="preserve"> 符合审查要求概况</w:t>
            </w:r>
          </w:p>
        </w:tc>
        <w:tc>
          <w:tcPr>
            <w:tcW w:type="dxa" w:w="3322"/>
          </w:tcPr>
          <w:p>
            <w:pPr>
              <w:pStyle w:val="null3"/>
            </w:pPr>
            <w:r>
              <w:rPr>
                <w:rFonts w:ascii="仿宋_GB2312" w:hAnsi="仿宋_GB2312" w:cs="仿宋_GB2312" w:eastAsia="仿宋_GB2312"/>
              </w:rPr>
              <w:t xml:space="preserve"> 评审点具体描述</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投标文件有效期符合招标文件要求。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投标文件签署、盖章</w:t>
            </w:r>
          </w:p>
        </w:tc>
        <w:tc>
          <w:tcPr>
            <w:tcW w:type="dxa" w:w="3322"/>
          </w:tcPr>
          <w:p>
            <w:pPr>
              <w:pStyle w:val="null3"/>
            </w:pPr>
            <w:r>
              <w:rPr>
                <w:rFonts w:ascii="仿宋_GB2312" w:hAnsi="仿宋_GB2312" w:cs="仿宋_GB2312" w:eastAsia="仿宋_GB2312"/>
              </w:rPr>
              <w:t>均按招标文件要求签字、盖章（评分标准中要求提供的证明材料除外）。</w:t>
            </w:r>
          </w:p>
        </w:tc>
        <w:tc>
          <w:tcPr>
            <w:tcW w:type="dxa" w:w="1661"/>
          </w:tcPr>
          <w:p>
            <w:pPr>
              <w:pStyle w:val="null3"/>
            </w:pPr>
            <w:r>
              <w:rPr>
                <w:rFonts w:ascii="仿宋_GB2312" w:hAnsi="仿宋_GB2312" w:cs="仿宋_GB2312" w:eastAsia="仿宋_GB2312"/>
              </w:rPr>
              <w:t>开标一览表 服务内容及服务邀请应答表 分项报价表 中小企业声明函 商务应答表 保证金汇款声明函、保函 控股管理关系 法定代表人授权书 投标人应提交的相关资格证明材料 近三年无重大违法、违纪书面声明 投标函 残疾人福利性单位声明函 服务方案 标的清单 非联合体不分包投标声明 投标文件封面 书面声明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开标一览表</w:t>
            </w:r>
          </w:p>
        </w:tc>
        <w:tc>
          <w:tcPr>
            <w:tcW w:type="dxa" w:w="3322"/>
          </w:tcPr>
          <w:p>
            <w:pPr>
              <w:pStyle w:val="null3"/>
            </w:pPr>
            <w:r>
              <w:rPr>
                <w:rFonts w:ascii="仿宋_GB2312" w:hAnsi="仿宋_GB2312" w:cs="仿宋_GB2312" w:eastAsia="仿宋_GB2312"/>
              </w:rPr>
              <w:t>（1）投标报价符合唯一性要求； （2）开标一览表填写符合要求； （3）计量单位、报价货币均符合招标文件要求； （4）未超出采购预算或招标文件规定的最高限价。</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商务条款响应</w:t>
            </w:r>
          </w:p>
        </w:tc>
        <w:tc>
          <w:tcPr>
            <w:tcW w:type="dxa" w:w="3322"/>
          </w:tcPr>
          <w:p>
            <w:pPr>
              <w:pStyle w:val="null3"/>
            </w:pPr>
            <w:r>
              <w:rPr>
                <w:rFonts w:ascii="仿宋_GB2312" w:hAnsi="仿宋_GB2312" w:cs="仿宋_GB2312" w:eastAsia="仿宋_GB2312"/>
              </w:rPr>
              <w:t>完全理解接受招标文件商务条款。</w:t>
            </w:r>
          </w:p>
        </w:tc>
        <w:tc>
          <w:tcPr>
            <w:tcW w:type="dxa" w:w="1661"/>
          </w:tcPr>
          <w:p>
            <w:pPr>
              <w:pStyle w:val="null3"/>
            </w:pPr>
            <w:r>
              <w:rPr>
                <w:rFonts w:ascii="仿宋_GB2312" w:hAnsi="仿宋_GB2312" w:cs="仿宋_GB2312" w:eastAsia="仿宋_GB2312"/>
              </w:rPr>
              <w:t>商务应答表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投标保证金</w:t>
            </w:r>
          </w:p>
        </w:tc>
        <w:tc>
          <w:tcPr>
            <w:tcW w:type="dxa" w:w="3322"/>
          </w:tcPr>
          <w:p>
            <w:pPr>
              <w:pStyle w:val="null3"/>
            </w:pPr>
            <w:r>
              <w:rPr>
                <w:rFonts w:ascii="仿宋_GB2312" w:hAnsi="仿宋_GB2312" w:cs="仿宋_GB2312" w:eastAsia="仿宋_GB2312"/>
              </w:rPr>
              <w:t>保证金交纳符合招标文件要求。</w:t>
            </w:r>
          </w:p>
        </w:tc>
        <w:tc>
          <w:tcPr>
            <w:tcW w:type="dxa" w:w="1661"/>
          </w:tcPr>
          <w:p>
            <w:pPr>
              <w:pStyle w:val="null3"/>
            </w:pPr>
            <w:r>
              <w:rPr>
                <w:rFonts w:ascii="仿宋_GB2312" w:hAnsi="仿宋_GB2312" w:cs="仿宋_GB2312" w:eastAsia="仿宋_GB2312"/>
              </w:rPr>
              <w:t>保证金汇款声明函、保函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无其他招标文件或法规明确规定响应无效的事项</w:t>
            </w:r>
          </w:p>
        </w:tc>
        <w:tc>
          <w:tcPr>
            <w:tcW w:type="dxa" w:w="3322"/>
          </w:tcPr>
          <w:p>
            <w:pPr>
              <w:pStyle w:val="null3"/>
            </w:pPr>
            <w:r>
              <w:rPr>
                <w:rFonts w:ascii="仿宋_GB2312" w:hAnsi="仿宋_GB2312" w:cs="仿宋_GB2312" w:eastAsia="仿宋_GB2312"/>
              </w:rPr>
              <w:t>没有不符合招标文件规定的被视为无效响应的其他条款。</w:t>
            </w:r>
          </w:p>
        </w:tc>
        <w:tc>
          <w:tcPr>
            <w:tcW w:type="dxa" w:w="1661"/>
          </w:tcPr>
          <w:p>
            <w:pPr>
              <w:pStyle w:val="null3"/>
            </w:pPr>
            <w:r>
              <w:rPr>
                <w:rFonts w:ascii="仿宋_GB2312" w:hAnsi="仿宋_GB2312" w:cs="仿宋_GB2312" w:eastAsia="仿宋_GB2312"/>
              </w:rPr>
              <w:t>开标一览表 服务内容及服务邀请应答表 分项报价表 中小企业声明函 商务应答表 保证金汇款声明函、保函 控股管理关系 法定代表人授权书 投标人应提交的相关资格证明材料 近三年无重大违法、违纪书面声明 投标函 残疾人福利性单位声明函 服务方案 标的清单 非联合体不分包投标声明 投标文件封面 书面声明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评审项</w:t>
            </w:r>
          </w:p>
        </w:tc>
        <w:tc>
          <w:tcPr>
            <w:tcW w:type="dxa" w:w="2492"/>
          </w:tcPr>
          <w:p>
            <w:pPr>
              <w:pStyle w:val="null3"/>
              <w:jc w:val="center"/>
            </w:pPr>
            <w:r>
              <w:rPr>
                <w:rFonts w:ascii="仿宋_GB2312" w:hAnsi="仿宋_GB2312" w:cs="仿宋_GB2312" w:eastAsia="仿宋_GB2312"/>
              </w:rPr>
              <w:t xml:space="preserve"> 详细描述</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关联格式</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政策背景理解</w:t>
            </w:r>
          </w:p>
        </w:tc>
        <w:tc>
          <w:tcPr>
            <w:tcW w:type="dxa" w:w="2492"/>
          </w:tcPr>
          <w:p>
            <w:pPr>
              <w:pStyle w:val="null3"/>
            </w:pPr>
            <w:r>
              <w:rPr>
                <w:rFonts w:ascii="仿宋_GB2312" w:hAnsi="仿宋_GB2312" w:cs="仿宋_GB2312" w:eastAsia="仿宋_GB2312"/>
              </w:rPr>
              <w:t>对全民所有自然资源资产清查的政策背景方面描述理解全面、表述清晰。满足招标文件要求，无瑕疵：10分；理解内容存在1处瑕疵：8分；理解内容存在2处瑕疵：6分；理解内容存在3处瑕疵：4分；理解内容存在4处瑕疵：2分；未提供内容或内容存在5处及以上瑕疵：0分。本评审办法所称“瑕疵”是指内容缺项、不完整或缺少关键点；非专门针对本项目或不适用本项目特性、套用其他项目内容；对同一问题前后表述矛盾；存在逻辑漏洞、科学原理或常识错误；不利于本项目目标的实现、现有技术条件下不可能出现的情形等任意一种情形。（后文评分标准对“瑕疵”的定义同此处）</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重点和难点分析</w:t>
            </w:r>
          </w:p>
        </w:tc>
        <w:tc>
          <w:tcPr>
            <w:tcW w:type="dxa" w:w="2492"/>
          </w:tcPr>
          <w:p>
            <w:pPr>
              <w:pStyle w:val="null3"/>
            </w:pPr>
            <w:r>
              <w:rPr>
                <w:rFonts w:ascii="仿宋_GB2312" w:hAnsi="仿宋_GB2312" w:cs="仿宋_GB2312" w:eastAsia="仿宋_GB2312"/>
              </w:rPr>
              <w:t>对全民所有自然资源资产清查工作内容的重点和难点分析，分析合理且解决方案具有强针对性与可操作性。满足招标文件要求，无瑕疵：10分；分析内容存在1处瑕疵：8分；分析内容存在2处瑕疵：6分；分析内容存在3处瑕疵：4分；分析内容存在4处瑕疵：2分；未提供分析或内容存在5处及以上瑕疵：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实施计划编制</w:t>
            </w:r>
          </w:p>
        </w:tc>
        <w:tc>
          <w:tcPr>
            <w:tcW w:type="dxa" w:w="2492"/>
          </w:tcPr>
          <w:p>
            <w:pPr>
              <w:pStyle w:val="null3"/>
            </w:pPr>
            <w:r>
              <w:rPr>
                <w:rFonts w:ascii="仿宋_GB2312" w:hAnsi="仿宋_GB2312" w:cs="仿宋_GB2312" w:eastAsia="仿宋_GB2312"/>
              </w:rPr>
              <w:t>对全民所有自然资源资产清查计划编制内容表述合理且全面。满足招标文件要求，无瑕疵：12分；实施计划编制内容存在1处瑕疵：10分；实施计划编制内容存在2处瑕疵：8分；实施计划编制内容存在3处瑕疵：6分；实施计划编制内容存在4处瑕疵：4分；实施计划编制内容存在5处瑕疵：2分；未提供或内容存在6处及以上瑕疵：0分。</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项目管理制度</w:t>
            </w:r>
          </w:p>
        </w:tc>
        <w:tc>
          <w:tcPr>
            <w:tcW w:type="dxa" w:w="2492"/>
          </w:tcPr>
          <w:p>
            <w:pPr>
              <w:pStyle w:val="null3"/>
            </w:pPr>
            <w:r>
              <w:rPr>
                <w:rFonts w:ascii="仿宋_GB2312" w:hAnsi="仿宋_GB2312" w:cs="仿宋_GB2312" w:eastAsia="仿宋_GB2312"/>
              </w:rPr>
              <w:t>针对本项目提出完善的管理制度，包括组织机构、项目架构、岗位工作标准、工作流程、职责分工等方面。要求满足项目需求综合评定，架构合理，人员配置齐全、岗位分配合理。承诺若出现项目人员因事病等不能工作的，及时请调其他项目人员补充，确保各项工作正常进行的，不承诺不得分。满足招标文件要求，无瑕疵：10分；管理制度存在1处瑕疵：8分；管理制度存在2处瑕疵：6分；管理制度存在3处瑕疵：4分；管理制度存在4处瑕疵：2分；未提供管理制度或内容存在5处及以上瑕疵：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质量保证措施和管控机制</w:t>
            </w:r>
          </w:p>
        </w:tc>
        <w:tc>
          <w:tcPr>
            <w:tcW w:type="dxa" w:w="2492"/>
          </w:tcPr>
          <w:p>
            <w:pPr>
              <w:pStyle w:val="null3"/>
            </w:pPr>
            <w:r>
              <w:rPr>
                <w:rFonts w:ascii="仿宋_GB2312" w:hAnsi="仿宋_GB2312" w:cs="仿宋_GB2312" w:eastAsia="仿宋_GB2312"/>
              </w:rPr>
              <w:t>针对本项目实施过程中，服务质量保证体系是否完整，质量保证措施是否合理，管控机制是否完善等，进行计分。满足招标文件要求，无瑕疵：6分；内容存在1处瑕疵：4分；内容存在2处瑕疵：2分；未提供或内容存在3处及以上瑕疵：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进度保证方案</w:t>
            </w:r>
          </w:p>
        </w:tc>
        <w:tc>
          <w:tcPr>
            <w:tcW w:type="dxa" w:w="2492"/>
          </w:tcPr>
          <w:p>
            <w:pPr>
              <w:pStyle w:val="null3"/>
            </w:pPr>
            <w:r>
              <w:rPr>
                <w:rFonts w:ascii="仿宋_GB2312" w:hAnsi="仿宋_GB2312" w:cs="仿宋_GB2312" w:eastAsia="仿宋_GB2312"/>
              </w:rPr>
              <w:t>结合本项目要求，阐述服务时效及进度的保障措施，根据时间进度安排是否合理、可行计分。满足招标文件要求，无瑕疵：6分；方案内容存在1处瑕疵：4分；方案内容存在2处瑕疵：2分；未提供方案或内容存在3处及以上瑕疵：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保密措施</w:t>
            </w:r>
          </w:p>
        </w:tc>
        <w:tc>
          <w:tcPr>
            <w:tcW w:type="dxa" w:w="2492"/>
          </w:tcPr>
          <w:p>
            <w:pPr>
              <w:pStyle w:val="null3"/>
            </w:pPr>
            <w:r>
              <w:rPr>
                <w:rFonts w:ascii="仿宋_GB2312" w:hAnsi="仿宋_GB2312" w:cs="仿宋_GB2312" w:eastAsia="仿宋_GB2312"/>
              </w:rPr>
              <w:t>供应商须提供针对本项目的保密制度及措施，有完善的保密机制或具备保密能力的证明（可提供相关保密资格证书），确保信息数据不外泄。满足招标文件要求，无瑕疵：4分；内容存在1处瑕疵：2分；未提供或内容存在2处及以上瑕疵：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供应商根据本项目的服务内容，做出切实可行的服务承诺，确保项目能按时按质完成，达到服务要求且能保证项目质量。满足招标文件要求，无瑕疵：2分；内容存在1处瑕疵：1分；未提供或内容存在2处及以上瑕疵：0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项目负责人</w:t>
            </w:r>
          </w:p>
        </w:tc>
        <w:tc>
          <w:tcPr>
            <w:tcW w:type="dxa" w:w="2492"/>
          </w:tcPr>
          <w:p>
            <w:pPr>
              <w:pStyle w:val="null3"/>
            </w:pPr>
            <w:r>
              <w:rPr>
                <w:rFonts w:ascii="仿宋_GB2312" w:hAnsi="仿宋_GB2312" w:cs="仿宋_GB2312" w:eastAsia="仿宋_GB2312"/>
              </w:rPr>
              <w:t>项目负责人具备自然资源领域高级及以上职称得2分，具备自然资源领域中级职称得1分。项目负责人每参加过1个同类项目得1分，满分2分。未提供的不计分（以提供职称复印件及项目的证明材料为准）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其他团队成员（不含项目负责人）</w:t>
            </w:r>
          </w:p>
        </w:tc>
        <w:tc>
          <w:tcPr>
            <w:tcW w:type="dxa" w:w="2492"/>
          </w:tcPr>
          <w:p>
            <w:pPr>
              <w:pStyle w:val="null3"/>
            </w:pPr>
            <w:r>
              <w:rPr>
                <w:rFonts w:ascii="仿宋_GB2312" w:hAnsi="仿宋_GB2312" w:cs="仿宋_GB2312" w:eastAsia="仿宋_GB2312"/>
              </w:rPr>
              <w:t>供应商应提供不少于8人的项目团队，其中每提供一名具备初级职称的人员得0.5分，每提供一名具备中级职称的人员得1分，每提供一名具备副高级及以上职称的人员得2分。（不包含项目负责人）本项目满分10分。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履约能力</w:t>
            </w:r>
          </w:p>
        </w:tc>
        <w:tc>
          <w:tcPr>
            <w:tcW w:type="dxa" w:w="2492"/>
          </w:tcPr>
          <w:p>
            <w:pPr>
              <w:pStyle w:val="null3"/>
            </w:pPr>
            <w:r>
              <w:rPr>
                <w:rFonts w:ascii="仿宋_GB2312" w:hAnsi="仿宋_GB2312" w:cs="仿宋_GB2312" w:eastAsia="仿宋_GB2312"/>
              </w:rPr>
              <w:t>结合项目特点，明确技术服务响应时间及保障措施、后期的技术支持等方面，响应迅速、考虑全面准确。满足招标文件要求，无瑕疵：4分；内容存在1处瑕疵：2分；未提供或内容存在2处及以上瑕疵：0分。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提供供应商2021年1月1日至今同类项目业绩（提供合同或任务书或报告关键页作为证明材料，以合同签订日期为准），每提供1个得3分，最高得12分。备注：投标文件中提供合同复印件加盖公章。</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供应商的价格分统一按照下列公式计算：投标报价得分=(评标基准价／投标报价)×价格权值×100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情形</w:t>
            </w:r>
          </w:p>
        </w:tc>
        <w:tc>
          <w:tcPr>
            <w:tcW w:type="dxa" w:w="1661"/>
          </w:tcPr>
          <w:p>
            <w:pPr>
              <w:pStyle w:val="null3"/>
            </w:pPr>
            <w:r>
              <w:rPr>
                <w:rFonts w:ascii="仿宋_GB2312" w:hAnsi="仿宋_GB2312" w:cs="仿宋_GB2312" w:eastAsia="仿宋_GB2312"/>
              </w:rPr>
              <w:t xml:space="preserve"> 适用对象</w:t>
            </w:r>
          </w:p>
        </w:tc>
        <w:tc>
          <w:tcPr>
            <w:tcW w:type="dxa" w:w="831"/>
          </w:tcPr>
          <w:p>
            <w:pPr>
              <w:pStyle w:val="null3"/>
            </w:pPr>
            <w:r>
              <w:rPr>
                <w:rFonts w:ascii="仿宋_GB2312" w:hAnsi="仿宋_GB2312" w:cs="仿宋_GB2312" w:eastAsia="仿宋_GB2312"/>
              </w:rPr>
              <w:t xml:space="preserve"> 比例</w:t>
            </w:r>
          </w:p>
        </w:tc>
        <w:tc>
          <w:tcPr>
            <w:tcW w:type="dxa" w:w="1661"/>
          </w:tcPr>
          <w:p>
            <w:pPr>
              <w:pStyle w:val="null3"/>
            </w:pPr>
            <w:r>
              <w:rPr>
                <w:rFonts w:ascii="仿宋_GB2312" w:hAnsi="仿宋_GB2312" w:cs="仿宋_GB2312" w:eastAsia="仿宋_GB2312"/>
              </w:rPr>
              <w:t xml:space="preserve"> 说明</w:t>
            </w:r>
          </w:p>
        </w:tc>
        <w:tc>
          <w:tcPr>
            <w:tcW w:type="dxa" w:w="1661"/>
          </w:tcPr>
          <w:p>
            <w:pPr>
              <w:pStyle w:val="null3"/>
            </w:pPr>
            <w:r>
              <w:rPr>
                <w:rFonts w:ascii="仿宋_GB2312" w:hAnsi="仿宋_GB2312" w:cs="仿宋_GB2312" w:eastAsia="仿宋_GB2312"/>
              </w:rPr>
              <w:t xml:space="preserve"> 关联格式</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 中小企业声明函 残疾人福利性单位声明函 标的清单 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详见附件：投标人应提交的相关资格证明材料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详见附件：保证金汇款声明函、保函</w:t>
      </w:r>
    </w:p>
    <w:p>
      <w:pPr>
        <w:pStyle w:val="null3"/>
        <w:ind w:firstLine="960"/>
      </w:pPr>
      <w:r>
        <w:rPr>
          <w:rFonts w:ascii="仿宋_GB2312" w:hAnsi="仿宋_GB2312" w:cs="仿宋_GB2312" w:eastAsia="仿宋_GB2312"/>
        </w:rPr>
        <w:t>详见附件：法定代表人授权书</w:t>
      </w:r>
    </w:p>
    <w:p>
      <w:pPr>
        <w:pStyle w:val="null3"/>
        <w:ind w:firstLine="960"/>
      </w:pPr>
      <w:r>
        <w:rPr>
          <w:rFonts w:ascii="仿宋_GB2312" w:hAnsi="仿宋_GB2312" w:cs="仿宋_GB2312" w:eastAsia="仿宋_GB2312"/>
        </w:rPr>
        <w:t>详见附件：分项报价表</w:t>
      </w:r>
    </w:p>
    <w:p>
      <w:pPr>
        <w:pStyle w:val="null3"/>
        <w:ind w:firstLine="960"/>
      </w:pPr>
      <w:r>
        <w:rPr>
          <w:rFonts w:ascii="仿宋_GB2312" w:hAnsi="仿宋_GB2312" w:cs="仿宋_GB2312" w:eastAsia="仿宋_GB2312"/>
        </w:rPr>
        <w:t>详见附件：近三年无重大违法、违纪书面声明</w:t>
      </w:r>
    </w:p>
    <w:p>
      <w:pPr>
        <w:pStyle w:val="null3"/>
        <w:ind w:firstLine="960"/>
      </w:pPr>
      <w:r>
        <w:rPr>
          <w:rFonts w:ascii="仿宋_GB2312" w:hAnsi="仿宋_GB2312" w:cs="仿宋_GB2312" w:eastAsia="仿宋_GB2312"/>
        </w:rPr>
        <w:t>详见附件：控股管理关系</w:t>
      </w:r>
    </w:p>
    <w:p>
      <w:pPr>
        <w:pStyle w:val="null3"/>
        <w:ind w:firstLine="960"/>
      </w:pPr>
      <w:r>
        <w:rPr>
          <w:rFonts w:ascii="仿宋_GB2312" w:hAnsi="仿宋_GB2312" w:cs="仿宋_GB2312" w:eastAsia="仿宋_GB2312"/>
        </w:rPr>
        <w:t>详见附件：书面声明</w:t>
      </w:r>
    </w:p>
    <w:p>
      <w:pPr>
        <w:pStyle w:val="null3"/>
        <w:ind w:firstLine="960"/>
      </w:pPr>
      <w:r>
        <w:rPr>
          <w:rFonts w:ascii="仿宋_GB2312" w:hAnsi="仿宋_GB2312" w:cs="仿宋_GB2312" w:eastAsia="仿宋_GB2312"/>
        </w:rPr>
        <w:t>详见附件：非联合体不分包投标声明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