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581E2">
      <w:pPr>
        <w:widowControl w:val="0"/>
        <w:kinsoku/>
        <w:autoSpaceDE/>
        <w:autoSpaceDN/>
        <w:adjustRightInd/>
        <w:snapToGrid/>
        <w:spacing w:after="156" w:line="560" w:lineRule="exact"/>
        <w:jc w:val="both"/>
        <w:textAlignment w:val="auto"/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1DD4C60C">
      <w:pPr>
        <w:pStyle w:val="2"/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5062BDCF">
      <w:pPr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34C1413E">
      <w:pPr>
        <w:pStyle w:val="2"/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4AC096D8">
      <w:pPr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5A46DAC2">
      <w:pPr>
        <w:pStyle w:val="2"/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09CC5558">
      <w:pPr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73F94E16">
      <w:pPr>
        <w:pStyle w:val="2"/>
        <w:rPr>
          <w:rFonts w:hint="eastAsia" w:ascii="Calibri" w:hAnsi="Calibri" w:eastAsia="宋体" w:cs="宋体"/>
          <w:snapToGrid/>
          <w:kern w:val="2"/>
          <w:szCs w:val="24"/>
          <w:highlight w:val="none"/>
          <w:lang w:eastAsia="zh-CN"/>
        </w:rPr>
      </w:pPr>
    </w:p>
    <w:p w14:paraId="536ECBE8">
      <w:pPr>
        <w:jc w:val="center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-51"/>
          <w:sz w:val="72"/>
          <w:szCs w:val="72"/>
          <w:highlight w:val="none"/>
          <w:lang w:val="en-US" w:eastAsia="zh-CN"/>
        </w:rPr>
        <w:t>技术服务合同</w:t>
      </w:r>
    </w:p>
    <w:p w14:paraId="3EEDB504">
      <w:pPr>
        <w:pStyle w:val="2"/>
        <w:rPr>
          <w:rFonts w:hint="eastAsia"/>
          <w:highlight w:val="none"/>
          <w:lang w:eastAsia="zh-CN"/>
        </w:rPr>
      </w:pPr>
    </w:p>
    <w:p w14:paraId="1EBACB6E">
      <w:pPr>
        <w:rPr>
          <w:rFonts w:hint="eastAsia"/>
          <w:highlight w:val="none"/>
          <w:lang w:eastAsia="zh-CN"/>
        </w:rPr>
      </w:pPr>
    </w:p>
    <w:p w14:paraId="257EF5C2">
      <w:pPr>
        <w:pStyle w:val="2"/>
        <w:rPr>
          <w:rFonts w:hint="eastAsia"/>
          <w:highlight w:val="none"/>
          <w:lang w:eastAsia="zh-CN"/>
        </w:rPr>
      </w:pPr>
    </w:p>
    <w:p w14:paraId="545DF1DC">
      <w:pPr>
        <w:rPr>
          <w:rFonts w:hint="eastAsia"/>
          <w:highlight w:val="none"/>
          <w:lang w:eastAsia="zh-CN"/>
        </w:rPr>
      </w:pPr>
    </w:p>
    <w:p w14:paraId="0AF2D21F">
      <w:pPr>
        <w:pStyle w:val="2"/>
        <w:rPr>
          <w:rFonts w:ascii="宋体" w:hAnsi="宋体" w:eastAsia="宋体" w:cs="宋体"/>
          <w:b/>
          <w:bCs/>
          <w:spacing w:val="-9"/>
          <w:sz w:val="29"/>
          <w:szCs w:val="29"/>
          <w:highlight w:val="none"/>
        </w:rPr>
      </w:pPr>
    </w:p>
    <w:p w14:paraId="71DBBD64">
      <w:pPr>
        <w:pStyle w:val="2"/>
        <w:rPr>
          <w:rFonts w:ascii="宋体" w:hAnsi="宋体" w:eastAsia="宋体" w:cs="宋体"/>
          <w:b/>
          <w:bCs/>
          <w:spacing w:val="-9"/>
          <w:sz w:val="29"/>
          <w:szCs w:val="29"/>
          <w:highlight w:val="none"/>
        </w:rPr>
      </w:pPr>
    </w:p>
    <w:p w14:paraId="4590EF92">
      <w:pPr>
        <w:pStyle w:val="2"/>
        <w:rPr>
          <w:rFonts w:ascii="宋体" w:hAnsi="宋体" w:eastAsia="宋体" w:cs="宋体"/>
          <w:b/>
          <w:bCs/>
          <w:spacing w:val="-9"/>
          <w:sz w:val="29"/>
          <w:szCs w:val="29"/>
          <w:highlight w:val="none"/>
        </w:rPr>
      </w:pPr>
    </w:p>
    <w:p w14:paraId="229E45D6">
      <w:pPr>
        <w:pStyle w:val="2"/>
        <w:rPr>
          <w:rFonts w:ascii="宋体" w:hAnsi="宋体" w:eastAsia="宋体" w:cs="宋体"/>
          <w:b/>
          <w:bCs/>
          <w:spacing w:val="-9"/>
          <w:sz w:val="29"/>
          <w:szCs w:val="29"/>
          <w:highlight w:val="none"/>
        </w:rPr>
      </w:pPr>
    </w:p>
    <w:p w14:paraId="4334F762">
      <w:pPr>
        <w:pStyle w:val="2"/>
        <w:rPr>
          <w:rFonts w:hint="default" w:ascii="宋体" w:hAnsi="宋体" w:eastAsia="宋体" w:cs="宋体"/>
          <w:b/>
          <w:bCs/>
          <w:spacing w:val="-9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-9"/>
          <w:sz w:val="29"/>
          <w:szCs w:val="29"/>
          <w:highlight w:val="none"/>
        </w:rPr>
        <w:t>项目名称</w:t>
      </w:r>
      <w:r>
        <w:rPr>
          <w:rFonts w:hint="eastAsia" w:ascii="宋体" w:hAnsi="宋体" w:eastAsia="宋体" w:cs="宋体"/>
          <w:b/>
          <w:bCs/>
          <w:spacing w:val="-9"/>
          <w:sz w:val="29"/>
          <w:szCs w:val="29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pacing w:val="-9"/>
          <w:sz w:val="29"/>
          <w:szCs w:val="29"/>
          <w:highlight w:val="none"/>
          <w:u w:val="single"/>
          <w:lang w:eastAsia="zh-CN"/>
        </w:rPr>
        <w:t>2025年陕西省全民所有自然资源资产清查</w:t>
      </w:r>
    </w:p>
    <w:p w14:paraId="3C628307">
      <w:pPr>
        <w:rPr>
          <w:rFonts w:hint="default"/>
          <w:highlight w:val="none"/>
          <w:lang w:val="en-US" w:eastAsia="zh-CN"/>
        </w:rPr>
      </w:pPr>
    </w:p>
    <w:p w14:paraId="10A58349">
      <w:pPr>
        <w:rPr>
          <w:rFonts w:hint="default" w:ascii="宋体" w:hAnsi="宋体" w:eastAsia="宋体" w:cs="宋体"/>
          <w:b/>
          <w:bCs/>
          <w:spacing w:val="9"/>
          <w:sz w:val="29"/>
          <w:szCs w:val="29"/>
          <w:highlight w:val="none"/>
          <w:lang w:val="en-US" w:eastAsia="zh-CN"/>
        </w:rPr>
      </w:pPr>
      <w:r>
        <w:rPr>
          <w:rFonts w:ascii="宋体" w:hAnsi="宋体" w:eastAsia="宋体" w:cs="宋体"/>
          <w:b/>
          <w:bCs/>
          <w:spacing w:val="9"/>
          <w:sz w:val="29"/>
          <w:szCs w:val="29"/>
          <w:highlight w:val="none"/>
        </w:rPr>
        <w:t>委托方(甲方):</w:t>
      </w:r>
      <w:r>
        <w:rPr>
          <w:rFonts w:hint="eastAsia" w:ascii="宋体" w:hAnsi="宋体" w:eastAsia="宋体" w:cs="宋体"/>
          <w:b/>
          <w:bCs/>
          <w:spacing w:val="9"/>
          <w:sz w:val="29"/>
          <w:szCs w:val="29"/>
          <w:highlight w:val="none"/>
          <w:u w:val="single"/>
          <w:lang w:val="en-US" w:eastAsia="zh-CN"/>
        </w:rPr>
        <w:t>陕西省自然资源厅</w:t>
      </w:r>
    </w:p>
    <w:p w14:paraId="5A834B6C">
      <w:pPr>
        <w:pStyle w:val="2"/>
        <w:rPr>
          <w:rFonts w:hint="default"/>
          <w:highlight w:val="none"/>
          <w:lang w:val="en-US" w:eastAsia="zh-CN"/>
        </w:rPr>
      </w:pPr>
    </w:p>
    <w:p w14:paraId="5BF06D9C">
      <w:pPr>
        <w:pStyle w:val="2"/>
        <w:rPr>
          <w:rFonts w:hint="default" w:ascii="宋体" w:hAnsi="宋体" w:eastAsia="宋体" w:cs="宋体"/>
          <w:b/>
          <w:bCs/>
          <w:spacing w:val="4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4"/>
          <w:sz w:val="29"/>
          <w:szCs w:val="29"/>
          <w:highlight w:val="none"/>
        </w:rPr>
        <w:t>承接方(乙方):</w:t>
      </w:r>
      <w:r>
        <w:rPr>
          <w:rFonts w:hint="eastAsia" w:ascii="宋体" w:hAnsi="宋体" w:eastAsia="宋体" w:cs="宋体"/>
          <w:b/>
          <w:bCs/>
          <w:spacing w:val="9"/>
          <w:sz w:val="29"/>
          <w:szCs w:val="29"/>
          <w:highlight w:val="none"/>
          <w:u w:val="single"/>
          <w:lang w:val="en-US" w:eastAsia="zh-CN"/>
        </w:rPr>
        <w:t xml:space="preserve">                         </w:t>
      </w:r>
    </w:p>
    <w:p w14:paraId="47CA9543">
      <w:pPr>
        <w:rPr>
          <w:rFonts w:hint="eastAsia" w:ascii="宋体" w:hAnsi="宋体" w:eastAsia="宋体" w:cs="宋体"/>
          <w:b/>
          <w:bCs/>
          <w:spacing w:val="4"/>
          <w:sz w:val="29"/>
          <w:szCs w:val="29"/>
          <w:highlight w:val="none"/>
          <w:u w:val="single"/>
          <w:lang w:val="en-US" w:eastAsia="zh-CN"/>
        </w:rPr>
      </w:pPr>
    </w:p>
    <w:p w14:paraId="3E8990A8">
      <w:pPr>
        <w:pStyle w:val="2"/>
        <w:rPr>
          <w:rFonts w:hint="eastAsia" w:ascii="宋体" w:hAnsi="宋体" w:eastAsia="宋体" w:cs="宋体"/>
          <w:b/>
          <w:bCs/>
          <w:spacing w:val="4"/>
          <w:sz w:val="29"/>
          <w:szCs w:val="29"/>
          <w:highlight w:val="none"/>
          <w:u w:val="single"/>
          <w:lang w:val="en-US" w:eastAsia="zh-CN"/>
        </w:rPr>
      </w:pPr>
    </w:p>
    <w:p w14:paraId="78CB59DD">
      <w:pPr>
        <w:spacing w:before="325" w:line="219" w:lineRule="auto"/>
        <w:jc w:val="center"/>
        <w:rPr>
          <w:rFonts w:hint="eastAsia" w:ascii="宋体" w:hAnsi="宋体" w:eastAsia="宋体" w:cs="宋体"/>
          <w:b/>
          <w:bCs/>
          <w:spacing w:val="-23"/>
          <w:sz w:val="36"/>
          <w:szCs w:val="36"/>
          <w:highlight w:val="none"/>
          <w:lang w:val="en-US" w:eastAsia="zh-CN"/>
        </w:rPr>
      </w:pPr>
    </w:p>
    <w:p w14:paraId="0FF02B67">
      <w:pPr>
        <w:spacing w:before="325" w:line="219" w:lineRule="auto"/>
        <w:jc w:val="center"/>
        <w:rPr>
          <w:rFonts w:hint="eastAsia" w:ascii="宋体" w:hAnsi="宋体" w:cs="宋体"/>
          <w:b/>
          <w:bCs/>
          <w:spacing w:val="-23"/>
          <w:sz w:val="36"/>
          <w:szCs w:val="36"/>
          <w:highlight w:val="none"/>
          <w:lang w:val="en-US" w:eastAsia="zh-CN"/>
        </w:rPr>
      </w:pPr>
    </w:p>
    <w:p w14:paraId="428E81F6">
      <w:pPr>
        <w:spacing w:before="325" w:line="219" w:lineRule="auto"/>
        <w:jc w:val="center"/>
        <w:rPr>
          <w:rFonts w:ascii="宋体" w:hAnsi="宋体" w:eastAsia="宋体" w:cs="宋体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pacing w:val="-23"/>
          <w:sz w:val="36"/>
          <w:szCs w:val="36"/>
          <w:highlight w:val="none"/>
          <w:lang w:val="en-US" w:eastAsia="zh-CN"/>
        </w:rPr>
        <w:t>2025年陕西省全民所有自然资源资产清查</w:t>
      </w:r>
      <w:r>
        <w:rPr>
          <w:rFonts w:hint="eastAsia" w:ascii="宋体" w:hAnsi="宋体" w:eastAsia="宋体" w:cs="宋体"/>
          <w:b/>
          <w:bCs/>
          <w:spacing w:val="-23"/>
          <w:sz w:val="36"/>
          <w:szCs w:val="36"/>
          <w:highlight w:val="none"/>
          <w:lang w:val="en-US" w:eastAsia="zh-CN"/>
        </w:rPr>
        <w:t>项目</w:t>
      </w:r>
      <w:r>
        <w:rPr>
          <w:rFonts w:ascii="宋体" w:hAnsi="宋体" w:eastAsia="宋体" w:cs="宋体"/>
          <w:b/>
          <w:bCs/>
          <w:spacing w:val="-23"/>
          <w:sz w:val="36"/>
          <w:szCs w:val="36"/>
          <w:highlight w:val="none"/>
        </w:rPr>
        <w:t>合同书</w:t>
      </w:r>
    </w:p>
    <w:p w14:paraId="700A5E0F">
      <w:pPr>
        <w:spacing w:before="74" w:line="384" w:lineRule="auto"/>
        <w:rPr>
          <w:rFonts w:ascii="宋体" w:hAnsi="宋体" w:eastAsia="宋体" w:cs="宋体"/>
          <w:b/>
          <w:bCs/>
          <w:spacing w:val="14"/>
          <w:sz w:val="23"/>
          <w:szCs w:val="23"/>
          <w:highlight w:val="none"/>
        </w:rPr>
      </w:pPr>
    </w:p>
    <w:p w14:paraId="2BDE85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委托方（甲方）：陕西省自然资源厅</w:t>
      </w:r>
    </w:p>
    <w:p w14:paraId="0A349D7E">
      <w:pPr>
        <w:pStyle w:val="2"/>
        <w:ind w:firstLine="480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统一社会信用代码：</w:t>
      </w:r>
    </w:p>
    <w:p w14:paraId="7B8E62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法定代表人：</w:t>
      </w:r>
    </w:p>
    <w:p w14:paraId="0A7897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联系电话：</w:t>
      </w:r>
    </w:p>
    <w:p w14:paraId="042763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联系地址：</w:t>
      </w:r>
    </w:p>
    <w:p w14:paraId="79B91713">
      <w:pPr>
        <w:pStyle w:val="2"/>
        <w:rPr>
          <w:rFonts w:hint="eastAsia" w:ascii="宋体" w:hAnsi="宋体" w:eastAsia="宋体" w:cs="宋体"/>
          <w:lang w:val="en-US" w:eastAsia="zh-CN"/>
        </w:rPr>
      </w:pPr>
    </w:p>
    <w:p w14:paraId="5CD73D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承接方（乙方）：</w:t>
      </w:r>
    </w:p>
    <w:p w14:paraId="727BADCE">
      <w:pPr>
        <w:pStyle w:val="2"/>
        <w:ind w:firstLine="480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统一社会信用代码：</w:t>
      </w:r>
    </w:p>
    <w:p w14:paraId="7C0457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法定代表人：</w:t>
      </w:r>
    </w:p>
    <w:p w14:paraId="1A1FE7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联系电话：</w:t>
      </w:r>
    </w:p>
    <w:p w14:paraId="237DE488">
      <w:pPr>
        <w:pStyle w:val="2"/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联系地址：</w:t>
      </w:r>
    </w:p>
    <w:p w14:paraId="3500B7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8"/>
        <w:textAlignment w:val="baseline"/>
        <w:rPr>
          <w:rFonts w:hint="default" w:ascii="宋体" w:hAnsi="宋体" w:eastAsia="宋体" w:cs="宋体"/>
          <w:sz w:val="24"/>
          <w:szCs w:val="24"/>
          <w:highlight w:val="none"/>
          <w:lang w:val="en-US"/>
        </w:rPr>
      </w:pPr>
    </w:p>
    <w:p w14:paraId="2EC7FC7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依据《中华人民共和国民法典》、《中华人民共和国政府采购法》和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自然资源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行业有关法律法规，按照项目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文件、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文件、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通知书等相关内容要求，甲方委托乙方承担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eastAsia="zh-CN"/>
        </w:rPr>
        <w:t>2025年陕西省全民所有自然资源资产清查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项目，经甲乙双方协商一致，签订本合同。</w:t>
      </w:r>
    </w:p>
    <w:p w14:paraId="7B9592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  <w:lang w:val="en-US" w:eastAsia="zh-CN"/>
        </w:rPr>
        <w:t xml:space="preserve">第一条 </w:t>
      </w: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</w:rPr>
        <w:t>项目基本情况</w:t>
      </w:r>
    </w:p>
    <w:p w14:paraId="10AD858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</w:rPr>
        <w:t>（一）项目名称：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eastAsia="zh-CN"/>
        </w:rPr>
        <w:t>2025年陕西省全民所有自然资源资产清查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；</w:t>
      </w:r>
    </w:p>
    <w:p w14:paraId="283BB2D5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</w:rPr>
        <w:t>）项目内容：</w:t>
      </w:r>
    </w:p>
    <w:p w14:paraId="6B121B2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查清省级管理的15种矿产资源实物量，核算价值量，理清使用权状况。查清全省水资源实物量。完善全省全民所有土地、矿产、森林、草原等4类资源资产清查价格体系。汇总并复检全省市、县级资产清查成果。探索资产清查成果应用（如，不限于在资产管理考核评价、资本核算、资产配置方案计划等方向开展探索）。编制2024年度全民所有自然资源资产负债表。统筹和指导市县级开展资产清查工作（如，包括但不限于技术培训和技术督导）。</w:t>
      </w:r>
    </w:p>
    <w:p w14:paraId="774AF1E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spacing w:val="0"/>
          <w:w w:val="10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  <w:lang w:val="en-US" w:eastAsia="zh-CN"/>
        </w:rPr>
        <w:t>成果要求：</w:t>
      </w:r>
    </w:p>
    <w:p w14:paraId="4181C77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文字成果包括陕西省矿产资源清查价格体系更新报告；陕西省全民所有自然资源资产清查工作报告；2024年度陕西省全民所有自然资源资产负债表编制工作报告。数据成果包括省级资产清查成果数据库；全省全民所有农用地、建设用地、未利用地、未确定使用权人国有建设用地、矿产资源、森林资源、草原资源、湿地资源、水资源资产清查数据；</w:t>
      </w:r>
    </w:p>
    <w:p w14:paraId="1FB4153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全民所有农用地、建设用地、矿产、森林、草原资源资产清查价格数据；陕西省全民所有自然资源资产负债表（2024年度）。</w:t>
      </w:r>
    </w:p>
    <w:p w14:paraId="7912429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/>
          <w:bCs/>
          <w:spacing w:val="0"/>
          <w:w w:val="10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0"/>
          <w:w w:val="100"/>
          <w:sz w:val="24"/>
          <w:szCs w:val="24"/>
          <w:highlight w:val="none"/>
        </w:rPr>
        <w:t>）服务期限：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</w:rPr>
        <w:t>。</w:t>
      </w:r>
    </w:p>
    <w:p w14:paraId="1E216B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highlight w:val="none"/>
        </w:rPr>
        <w:t>合同价款</w:t>
      </w:r>
    </w:p>
    <w:p w14:paraId="32D29FC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本项目合同总金额为：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>人民币大写：    （小写     ）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以上费用为含税价，包含乙方履行本合同所需的全部费用，甲方无需再向乙方支付其他任何价款、费用或报销。此价格为合同执行不变价，不因国家政策变化而变化。</w:t>
      </w:r>
    </w:p>
    <w:p w14:paraId="225FEE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 xml:space="preserve"> 支付方式</w:t>
      </w:r>
    </w:p>
    <w:p w14:paraId="36C608F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1.本合同生效后，达到付款条件起10日内，支付合同总金额的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0.00%，即人民币（大写）    （¥       元）；</w:t>
      </w:r>
    </w:p>
    <w:p w14:paraId="2A86816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</w:t>
      </w:r>
      <w:r>
        <w:rPr>
          <w:rFonts w:hint="eastAsia"/>
          <w:sz w:val="24"/>
          <w:szCs w:val="24"/>
          <w:highlight w:val="none"/>
        </w:rPr>
        <w:t>项目数据成果通过部、省有关专家评审论证后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，达到付款条件起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日内，支付合同总金额的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.00%，即人民币（大写）    （¥       元）；</w:t>
      </w:r>
    </w:p>
    <w:p w14:paraId="38787FD1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.乙方在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办理以上各期付款的支付手续前，应向甲方出具等额的符合国家规定的发票；</w:t>
      </w:r>
    </w:p>
    <w:p w14:paraId="58FD781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.上述时间不包括甲方正常办理支付报批手续的时间。</w:t>
      </w:r>
    </w:p>
    <w:p w14:paraId="4EFDD1C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乙方账户信息：</w:t>
      </w:r>
    </w:p>
    <w:p w14:paraId="640CCB3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户 名：</w:t>
      </w:r>
    </w:p>
    <w:p w14:paraId="76539C41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纳税人识别号：</w:t>
      </w:r>
    </w:p>
    <w:p w14:paraId="5E75058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开户行：</w:t>
      </w:r>
    </w:p>
    <w:p w14:paraId="230A87A5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账  号：</w:t>
      </w:r>
    </w:p>
    <w:p w14:paraId="3FD4CD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甲方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>权力与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责任</w:t>
      </w:r>
    </w:p>
    <w:p w14:paraId="62BD629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1.在实施过程中甲方根据需要及时向乙方提供项目有关背景资料。</w:t>
      </w:r>
    </w:p>
    <w:p w14:paraId="52845C0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2.甲方应选派人员参加项目的全过程，配合乙方人员进行项目实施。</w:t>
      </w:r>
    </w:p>
    <w:p w14:paraId="0DB04D9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3.甲方指派的项目负责人，全权代表甲方进行项目实施协调工作，并对乙方提交的项目过程文档进行签字确认。</w:t>
      </w:r>
    </w:p>
    <w:p w14:paraId="05A7113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4.按照合同约定向乙方支付合同款项。</w:t>
      </w:r>
    </w:p>
    <w:p w14:paraId="33E90E2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5.甲方负责组织项目考核验收。</w:t>
      </w:r>
    </w:p>
    <w:p w14:paraId="0D64551C">
      <w:pPr>
        <w:widowControl/>
        <w:kinsoku/>
        <w:autoSpaceDE/>
        <w:autoSpaceDN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乙方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>权力与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责任</w:t>
      </w:r>
    </w:p>
    <w:p w14:paraId="69A2AFE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应当依据合同规定的内容，做好项目的实施工作，协助甲方做好项目管理工作。根据项目工作各阶段的交付要求，向甲方提交项目实施的各项成果，按工作任务所规定的内容、进度提交文档等交付物，并对其内容负责。交付形式为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U盘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和装订成册的纸介质形式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，要求提供两份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。</w:t>
      </w:r>
    </w:p>
    <w:p w14:paraId="2478571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乙方应当合理组织足够的技术力量，指派技术小组执行本合同的工作。该技术小组应和甲方建立友好的协作关系。按照合同的时间安排，甲方代表和乙方技术小组之间建立技术交流的机制，高质量按时完成甲方提出的各项工作任务。</w:t>
      </w:r>
    </w:p>
    <w:p w14:paraId="19A94F0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3.乙方指定一名项目经理作为乙方本项目最高管理者，协助甲方人员解决可能出现的技术问题。如果甲方认为在工作现场的乙方任何成员不称职，甲方有权要求乙方另外指派合乎甲方要求的人员。</w:t>
      </w:r>
    </w:p>
    <w:p w14:paraId="05CF06F2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4.在项目实施过程中，乙方应当按甲方提出的时间节点完成各项工作，并按项目进度提交相应的交付物，对项目过程中的需求偏差、进度偏差，应按项目的变更管理流程，与甲方及时协商、确认和调整。</w:t>
      </w:r>
    </w:p>
    <w:p w14:paraId="4C967E5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5.在项目实施过程中，乙方不得更换项目组主要成员，如遇特殊情况需要更换，需经过甲方同意。乙方因项目负责人及技术人员调整或流动、技术设施故障，或因注销、吊销、经营困难等原因导致无法完成本合同项目的，须及时书面通知甲方，并退还甲方已支付的全部费用。如给甲方造成损失的，乙方应赔偿甲方全部损失。</w:t>
      </w:r>
    </w:p>
    <w:p w14:paraId="38AC333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6.乙方应保证整个项目的交付成果达到项目工作的总体目标，对项目的实施工作承担总体责任。</w:t>
      </w:r>
    </w:p>
    <w:p w14:paraId="3B7E996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7.乙方应及时完成交接工作并提交成果，如对甲方工作产生影响，乙方应承担相应责任。</w:t>
      </w:r>
    </w:p>
    <w:p w14:paraId="36701D9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8.乙方须对合同履行期间知悉的甲方商业秘密、技术信息等未公开内容严格保密，未经甲方书面同意，不得向第三方披露或使用，保密义务在合同终止后2年内依然有效。</w:t>
      </w:r>
    </w:p>
    <w:p w14:paraId="5C652A9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若乙方违反保密义务，甲方有权要求其停止违约、消除影响，乙方需赔偿甲方全部损失，并支付合同总额 20% 的违约金，情节严重时甲方可解除合同并追究法律责任。</w:t>
      </w:r>
    </w:p>
    <w:p w14:paraId="13E1FF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b/>
          <w:bCs/>
          <w:spacing w:val="1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24"/>
          <w:szCs w:val="24"/>
          <w:highlight w:val="none"/>
          <w:lang w:val="en-US" w:eastAsia="zh-CN"/>
        </w:rPr>
        <w:t>第六条 成本补偿和风险分担约定</w:t>
      </w:r>
    </w:p>
    <w:p w14:paraId="6FFDD50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本项目无成本补偿；在合同履行过程中，确因在现有水平和条件下难以克服的技术困难，导致研究开发部分或全部失败所造成的损失，风险责任由双方协商解决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协商不成，向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所在地法院诉讼。</w:t>
      </w:r>
    </w:p>
    <w:p w14:paraId="5894EC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1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10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pacing w:val="1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spacing w:val="1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10"/>
          <w:sz w:val="24"/>
          <w:szCs w:val="24"/>
          <w:highlight w:val="none"/>
        </w:rPr>
        <w:t>违约责任</w:t>
      </w:r>
    </w:p>
    <w:p w14:paraId="727C383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本合同生效后对甲乙双方均具有约束力，双方应严格执行合同条款，否则即构成违约，承担相应的违约责任。</w:t>
      </w:r>
    </w:p>
    <w:p w14:paraId="24EEE285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1.在履行本合同期间，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甲方拥有单方面解除权，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甲方无故要求终止或解除合同，应根据乙方已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完成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的实际工作量，经双方据实结算后予以支付。</w:t>
      </w:r>
    </w:p>
    <w:p w14:paraId="3032D2A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2.在履行本合同期间，乙方未征得甲方同意单方面解除合同，甲方有权拒绝支付费用，并有权向其主张合同总金额的百分之二十作为违约金。</w:t>
      </w:r>
    </w:p>
    <w:p w14:paraId="032FD27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3.乙方未按约定提供服务的，甲方有权要求乙方承担重作、扣减服务费用、甲方委托第三方提供服务并要求乙方承担费用等违约责任，并要求乙方赔偿全部损失。</w:t>
      </w:r>
    </w:p>
    <w:p w14:paraId="659116F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4.如乙方逾期交付服务成果，每逾期1日乙方向甲方支付合同总金额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同期全国银行间同业拆借中心发布的市场报价利率的4倍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的滞纳金。如逾期交付超过30日，甲方有权决定是否继续履行合同，如甲方决定终止履行合同的，乙方应向甲方支付合同总金额百分之二十的违约金，并且赔偿甲方因此所遭受的损失。</w:t>
      </w:r>
    </w:p>
    <w:p w14:paraId="4707884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5.乙方遇到可能非因客观原因而妨碍按时交付(完工)和提供服务的情况，应当及时以书面形式通知甲方，说明原由、拖延的期限等；甲方在接收到通知后，尽快进行情况评估，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甲方认为有必要延期的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则向乙方发出书面许可，乙方凭此可相应延长交付(完工)时间。若乙方未经甲方书面许可而自行延期的，视为逾期交付服务成果，每逾期一日应向甲方支付合同总金额的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同期全国银行间同业拆借中心发布的市场报价利率的4倍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的滞纳金。</w:t>
      </w:r>
    </w:p>
    <w:p w14:paraId="37AC7E7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6.乙方应严格按照相关技术规程实施，并确保参与人员人身和财产安全，合同履行期间一切安全事故由乙方全部负责。</w:t>
      </w:r>
    </w:p>
    <w:p w14:paraId="0D5D9B8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7.在履行本合同期间，因不可抗力等因素导致项目部分或者全部失败或无法继续履行，风险责任由甲乙双方共同承担。如乙方声称遇到不可抗力应立即通报甲方，并在其后的15天内提供证明不可抗力发生及其持续时间的足够证据，甲方可书面允许乙方延期履行、部分履行，并根据情况可部分免予承担违约责任。</w:t>
      </w:r>
    </w:p>
    <w:p w14:paraId="31D5B7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360" w:lineRule="auto"/>
        <w:ind w:left="104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17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17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pacing w:val="17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spacing w:val="17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17"/>
          <w:sz w:val="24"/>
          <w:szCs w:val="24"/>
          <w:highlight w:val="none"/>
        </w:rPr>
        <w:t>验收</w:t>
      </w:r>
    </w:p>
    <w:p w14:paraId="78B48DD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1.服务期满后，由乙方向甲方递交验收通知书，经甲方确认后，组织乙方进行项目整体验收。验收合格后，填写政府采购项目验收单作为对本次服务的最终认可。</w:t>
      </w:r>
    </w:p>
    <w:p w14:paraId="171FA652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验收不合格的，甲方有权要求乙方限期整改，乙方拒绝整改或整改后再次不合格的，甲方有权单方解除合同并拒付合同价款，乙方需向甲方退还已支付的合同价款。同时乙方应向甲方支付合同总金额百分之二十的违约金。</w:t>
      </w:r>
    </w:p>
    <w:p w14:paraId="31A6F89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3.项目验收由甲方或其委托的专家或第三方机构对项目进行验收，验收时，乙方应无条件予以配合并提供所需的全部资料：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包括但不限于招标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文件、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文件、合同文本、国内相应的标准、规范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。</w:t>
      </w:r>
    </w:p>
    <w:p w14:paraId="7C8A93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9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9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pacing w:val="9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spacing w:val="9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9"/>
          <w:sz w:val="24"/>
          <w:szCs w:val="24"/>
          <w:highlight w:val="none"/>
        </w:rPr>
        <w:t>知识产权</w:t>
      </w:r>
    </w:p>
    <w:p w14:paraId="743A17A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知识产权归属：本项目产生的专利、商标、著作权等所有知识产权均归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需在知识产权产生后15个工作日内提交资料并协助办理相关手续。</w:t>
      </w:r>
    </w:p>
    <w:p w14:paraId="789DB53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使用限制：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仅可在合同约定范围内使用相关知识产权及技术资料，如需用于其他目的，须提前10个工作日获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书面同意。</w:t>
      </w:r>
    </w:p>
    <w:p w14:paraId="18B78D2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侵权责任：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侵犯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或第三方知识产权，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有权要求立即停止侵权、消除影响、赔偿全部损失（含维权费用），并支付合同金额20%的违约金，情节严重可解除合同。</w:t>
      </w:r>
    </w:p>
    <w:p w14:paraId="370D87D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技术资料管理：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提供的技术资料使用权归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，合同终止后10个工作日内，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需返还或按要求销毁资料，并提供证明。</w:t>
      </w:r>
    </w:p>
    <w:p w14:paraId="6029008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争议解决：因本条款产生争议，先协商；协商不成，向</w:t>
      </w:r>
      <w:r>
        <w:rPr>
          <w:rFonts w:hint="eastAsia" w:ascii="宋体" w:hAnsi="宋体" w:cs="宋体"/>
          <w:spacing w:val="0"/>
          <w:w w:val="1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所在地法院诉讼。</w:t>
      </w:r>
    </w:p>
    <w:p w14:paraId="763C9E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b/>
          <w:bCs/>
          <w:spacing w:val="9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9"/>
          <w:sz w:val="24"/>
          <w:szCs w:val="24"/>
          <w:highlight w:val="none"/>
          <w:lang w:val="en-US" w:eastAsia="zh-CN"/>
        </w:rPr>
        <w:t>第十条 其他</w:t>
      </w:r>
    </w:p>
    <w:p w14:paraId="5E0C751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1.因履行本合同产生的纠纷，甲乙双方协商解决，协商不成时向甲方所在地人民法院诉讼解决。</w:t>
      </w:r>
    </w:p>
    <w:p w14:paraId="7A9875E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2.本合同未尽事宜，由甲乙双方协商解决，可签订补充协议，与本合同具有同等法律效力。</w:t>
      </w:r>
    </w:p>
    <w:p w14:paraId="02BD3AF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3.本合同自双方法人代表或其授权代表签字、盖章之日起生效，自双方履行完合同约定的义务后自动终止。</w:t>
      </w:r>
    </w:p>
    <w:p w14:paraId="3AD0F65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4.本合同一式陆份，甲乙双方各执叁份，具有同等法律效力。</w:t>
      </w:r>
    </w:p>
    <w:p w14:paraId="014AAA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9D6DA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9D27A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</w:p>
    <w:p w14:paraId="2DFB3D7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</w:p>
    <w:p w14:paraId="3B1D447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</w:p>
    <w:p w14:paraId="22634B3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甲  方（盖章）                      乙  方（盖章）</w:t>
      </w:r>
    </w:p>
    <w:p w14:paraId="41A125F2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单位名称：                          单位名称：</w:t>
      </w:r>
    </w:p>
    <w:p w14:paraId="2211186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地  址：                            地  址：</w:t>
      </w:r>
    </w:p>
    <w:p w14:paraId="1071D15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法定代表人                          法定代表人（单位负责人）</w:t>
      </w:r>
    </w:p>
    <w:p w14:paraId="51B6741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或委托代理人：                      或委托代理人：</w:t>
      </w:r>
    </w:p>
    <w:p w14:paraId="2838939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 xml:space="preserve">                                    开户银行：</w:t>
      </w:r>
    </w:p>
    <w:p w14:paraId="4345234B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账  号：</w:t>
      </w:r>
    </w:p>
    <w:p w14:paraId="6215D4D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联系电话：                          联系电话：</w:t>
      </w:r>
    </w:p>
    <w:p w14:paraId="3BC3BAB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签订日期：     年    月      日     签订日期：     年    月   日</w:t>
      </w:r>
    </w:p>
    <w:p w14:paraId="5B4513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Lucida Sans Unicode" w:hAnsi="Lucida Sans Unicode" w:eastAsia="宋体" w:cs="Lucida Sans Unicode"/>
          <w:spacing w:val="0"/>
          <w:w w:val="100"/>
          <w:sz w:val="24"/>
          <w:szCs w:val="24"/>
          <w:highlight w:val="none"/>
          <w:lang w:val="en-US" w:eastAsia="zh-CN"/>
        </w:rPr>
      </w:pPr>
    </w:p>
    <w:p w14:paraId="4CA713F2"/>
    <w:sectPr>
      <w:pgSz w:w="11900" w:h="16840"/>
      <w:pgMar w:top="1440" w:right="1800" w:bottom="1440" w:left="1800" w:header="850" w:footer="96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E57AF"/>
    <w:rsid w:val="08DE57AF"/>
    <w:rsid w:val="3C3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2025-07-01T10:07:00Z</dcterms:created>
  <dc:creator>贾旭鸣</dc:creator>
  <cp:lastModifiedBy>贾旭鸣</cp:lastModifiedBy>
  <dcterms:modified xsi:type="dcterms:W3CDTF">2025-07-01T10:11:46Z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14B7183B10E34356A238C56C6626B419_11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