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780A4">
      <w:pPr>
        <w:widowControl/>
        <w:spacing w:line="360" w:lineRule="auto"/>
        <w:jc w:val="center"/>
        <w:outlineLvl w:val="1"/>
        <w:rPr>
          <w:rFonts w:ascii="Calibri" w:hAnsi="Calibri" w:eastAsia="宋体" w:cs="Times New Roman"/>
          <w:kern w:val="0"/>
          <w:sz w:val="20"/>
          <w:szCs w:val="20"/>
          <w:lang w:eastAsia="zh-Hans"/>
        </w:rPr>
      </w:pPr>
      <w:r>
        <w:rPr>
          <w:rFonts w:ascii="Calibri" w:hAnsi="Calibri" w:eastAsia="宋体" w:cs="Times New Roman"/>
          <w:b/>
          <w:kern w:val="0"/>
          <w:sz w:val="36"/>
          <w:szCs w:val="20"/>
          <w:lang w:eastAsia="zh-Hans"/>
        </w:rPr>
        <w:t>第七章 拟签订采购合同文本</w:t>
      </w:r>
    </w:p>
    <w:p w14:paraId="7C9A6498">
      <w:pPr>
        <w:widowControl/>
        <w:spacing w:line="360" w:lineRule="auto"/>
        <w:jc w:val="left"/>
        <w:rPr>
          <w:rFonts w:ascii="Calibri" w:hAnsi="Calibri" w:eastAsia="宋体" w:cs="Times New Roman"/>
          <w:kern w:val="0"/>
          <w:sz w:val="20"/>
          <w:szCs w:val="20"/>
          <w:lang w:eastAsia="zh-Hans"/>
        </w:rPr>
      </w:pPr>
    </w:p>
    <w:p w14:paraId="4A121B45">
      <w:pPr>
        <w:widowControl/>
        <w:spacing w:line="360" w:lineRule="auto"/>
        <w:jc w:val="left"/>
        <w:rPr>
          <w:rFonts w:ascii="宋体" w:hAnsi="宋体" w:eastAsia="宋体" w:cs="Times New Roman"/>
          <w:b/>
          <w:bCs/>
          <w:kern w:val="0"/>
          <w:sz w:val="24"/>
          <w:szCs w:val="24"/>
          <w:lang w:eastAsia="zh-Hans"/>
        </w:rPr>
      </w:pPr>
      <w:r>
        <w:rPr>
          <w:rFonts w:ascii="宋体" w:hAnsi="宋体" w:eastAsia="宋体" w:cs="Times New Roman"/>
          <w:b/>
          <w:bCs/>
          <w:kern w:val="0"/>
          <w:sz w:val="24"/>
          <w:szCs w:val="24"/>
          <w:lang w:eastAsia="zh-Hans"/>
        </w:rPr>
        <w:t>特别说明：以下内容只作为合同基本条款，在签订具体合同时，请根据项目实际情况再签订技术协议作为合同的附件。</w:t>
      </w:r>
    </w:p>
    <w:p w14:paraId="0FC25AB1">
      <w:pPr>
        <w:widowControl/>
        <w:spacing w:line="360" w:lineRule="auto"/>
        <w:jc w:val="left"/>
        <w:rPr>
          <w:rFonts w:hint="eastAsia" w:ascii="宋体" w:hAnsi="宋体" w:eastAsia="宋体" w:cs="Times New Roman"/>
          <w:b/>
          <w:bCs/>
          <w:kern w:val="0"/>
          <w:sz w:val="24"/>
          <w:szCs w:val="24"/>
          <w:lang w:eastAsia="zh-Hans"/>
        </w:rPr>
      </w:pPr>
    </w:p>
    <w:p w14:paraId="33AD103E">
      <w:pPr>
        <w:widowControl/>
        <w:spacing w:line="360" w:lineRule="auto"/>
        <w:ind w:firstLine="480" w:firstLineChars="200"/>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根据《中华人民共和国政府采购法》、《中华人民共和国民法典》及有关法律规定，遵循平等、自愿、公平和诚实信用的原则，西北大学（甲方）与</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公司（乙方）就</w:t>
      </w:r>
      <w:r>
        <w:rPr>
          <w:rFonts w:hint="eastAsia" w:ascii="宋体" w:hAnsi="宋体" w:eastAsia="宋体" w:cs="Times New Roman"/>
          <w:kern w:val="0"/>
          <w:sz w:val="24"/>
          <w:szCs w:val="24"/>
          <w:u w:val="single"/>
          <w:lang w:val="en-US" w:eastAsia="zh-CN"/>
        </w:rPr>
        <w:t xml:space="preserve">  西安理工大学教育网出口带宽  </w:t>
      </w:r>
      <w:r>
        <w:rPr>
          <w:rFonts w:hint="eastAsia" w:ascii="宋体" w:hAnsi="宋体" w:eastAsia="宋体" w:cs="Times New Roman"/>
          <w:kern w:val="0"/>
          <w:sz w:val="24"/>
          <w:szCs w:val="24"/>
          <w:lang w:eastAsia="zh-Hans"/>
        </w:rPr>
        <w:t>项目</w:t>
      </w:r>
      <w:r>
        <w:rPr>
          <w:rFonts w:ascii="宋体" w:hAnsi="宋体" w:eastAsia="宋体" w:cs="Times New Roman"/>
          <w:kern w:val="0"/>
          <w:sz w:val="24"/>
          <w:szCs w:val="24"/>
          <w:lang w:eastAsia="zh-Hans"/>
        </w:rPr>
        <w:t>（</w:t>
      </w:r>
      <w:r>
        <w:rPr>
          <w:rFonts w:hint="eastAsia" w:ascii="宋体" w:hAnsi="宋体" w:eastAsia="宋体" w:cs="Times New Roman"/>
          <w:kern w:val="0"/>
          <w:sz w:val="24"/>
          <w:szCs w:val="24"/>
          <w:lang w:val="en-US" w:eastAsia="zh-CN"/>
        </w:rPr>
        <w:t>采购</w:t>
      </w:r>
      <w:r>
        <w:rPr>
          <w:rFonts w:ascii="宋体" w:hAnsi="宋体" w:eastAsia="宋体" w:cs="Times New Roman"/>
          <w:kern w:val="0"/>
          <w:sz w:val="24"/>
          <w:szCs w:val="24"/>
          <w:lang w:eastAsia="zh-Hans"/>
        </w:rPr>
        <w:t>编号：</w:t>
      </w:r>
      <w:r>
        <w:rPr>
          <w:rFonts w:hint="eastAsia" w:ascii="宋体" w:hAnsi="宋体" w:eastAsia="宋体" w:cs="Times New Roman"/>
          <w:kern w:val="0"/>
          <w:sz w:val="24"/>
          <w:szCs w:val="24"/>
          <w:u w:val="single"/>
          <w:lang w:val="en-US" w:eastAsia="zh-CN"/>
        </w:rPr>
        <w:t xml:space="preserve">  陕融招字-2025-0602号 </w:t>
      </w:r>
      <w:r>
        <w:rPr>
          <w:rFonts w:ascii="宋体" w:hAnsi="宋体" w:eastAsia="宋体" w:cs="Times New Roman"/>
          <w:kern w:val="0"/>
          <w:sz w:val="24"/>
          <w:szCs w:val="24"/>
          <w:lang w:eastAsia="zh-Hans"/>
        </w:rPr>
        <w:t>）经双方协商达成如下合同条款：</w:t>
      </w:r>
    </w:p>
    <w:p w14:paraId="1154DCC3">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一、服务名称</w:t>
      </w:r>
    </w:p>
    <w:p w14:paraId="7FA5EE31">
      <w:pPr>
        <w:widowControl/>
        <w:spacing w:line="360" w:lineRule="auto"/>
        <w:ind w:firstLine="405"/>
        <w:jc w:val="left"/>
        <w:rPr>
          <w:rFonts w:hint="eastAsia" w:ascii="宋体" w:hAnsi="宋体" w:eastAsia="宋体" w:cs="Times New Roman"/>
          <w:kern w:val="0"/>
          <w:sz w:val="24"/>
          <w:szCs w:val="24"/>
        </w:rPr>
      </w:pPr>
      <w:r>
        <w:rPr>
          <w:rFonts w:hint="eastAsia" w:ascii="宋体" w:hAnsi="宋体" w:eastAsia="宋体" w:cs="Times New Roman"/>
          <w:kern w:val="0"/>
          <w:sz w:val="24"/>
          <w:szCs w:val="24"/>
          <w:u w:val="single"/>
          <w:lang w:val="en-US" w:eastAsia="zh-CN"/>
        </w:rPr>
        <w:t xml:space="preserve">  西安理工大学教育网出口带宽 </w:t>
      </w:r>
      <w:r>
        <w:rPr>
          <w:rFonts w:ascii="宋体" w:hAnsi="宋体" w:eastAsia="宋体" w:cs="Times New Roman"/>
          <w:kern w:val="0"/>
          <w:sz w:val="24"/>
          <w:szCs w:val="24"/>
          <w:lang w:eastAsia="zh-Hans"/>
        </w:rPr>
        <w:t>项目</w:t>
      </w:r>
    </w:p>
    <w:p w14:paraId="1BAFC756">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二、服务内容、要求及标准</w:t>
      </w:r>
    </w:p>
    <w:p w14:paraId="417EF9B2">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 xml:space="preserve">   </w:t>
      </w:r>
      <w:r>
        <w:rPr>
          <w:rFonts w:hint="eastAsia" w:ascii="宋体" w:hAnsi="宋体" w:eastAsia="宋体" w:cs="Times New Roman"/>
          <w:kern w:val="0"/>
          <w:sz w:val="24"/>
          <w:szCs w:val="24"/>
          <w:lang w:val="en-US" w:eastAsia="zh-CN"/>
        </w:rPr>
        <w:t xml:space="preserve"> </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 xml:space="preserve"> </w:t>
      </w:r>
    </w:p>
    <w:p w14:paraId="3F3DF822">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三、服务费用及支付方式</w:t>
      </w:r>
    </w:p>
    <w:p w14:paraId="4764FB5B">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（一）服务费用 ：大写金额</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 xml:space="preserve">；小写金额 </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 xml:space="preserve"> 。</w:t>
      </w:r>
    </w:p>
    <w:p w14:paraId="41C8D3FF">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（二）支付方式和要求</w:t>
      </w:r>
      <w:r>
        <w:rPr>
          <w:rFonts w:hint="eastAsia" w:ascii="宋体" w:hAnsi="宋体" w:eastAsia="宋体" w:cs="Times New Roman"/>
          <w:kern w:val="0"/>
          <w:sz w:val="24"/>
          <w:szCs w:val="24"/>
          <w:lang w:eastAsia="zh-CN"/>
        </w:rPr>
        <w:t>：</w:t>
      </w:r>
      <w:r>
        <w:rPr>
          <w:rFonts w:hint="eastAsia" w:ascii="宋体" w:hAnsi="宋体" w:eastAsia="宋体" w:cs="Times New Roman"/>
          <w:kern w:val="0"/>
          <w:sz w:val="24"/>
          <w:szCs w:val="24"/>
          <w:u w:val="single"/>
          <w:lang w:val="en-US" w:eastAsia="zh-CN"/>
        </w:rPr>
        <w:t>合同生效后，乙方为甲方开通使用权限，甲方使用1个月后经甲乙双方共同验收，验收合格 ，达到付款条件起 30 日内，支付合同总金额的 100.00%。</w:t>
      </w:r>
    </w:p>
    <w:p w14:paraId="5079AE6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四、服务期限</w:t>
      </w:r>
    </w:p>
    <w:p w14:paraId="257F3C28">
      <w:pPr>
        <w:widowControl/>
        <w:spacing w:line="360" w:lineRule="auto"/>
        <w:jc w:val="left"/>
        <w:rPr>
          <w:rFonts w:ascii="宋体" w:hAnsi="宋体" w:eastAsia="宋体" w:cs="Times New Roman"/>
          <w:kern w:val="0"/>
          <w:sz w:val="24"/>
          <w:szCs w:val="24"/>
          <w:lang w:eastAsia="zh-Hans"/>
        </w:rPr>
      </w:pPr>
      <w:r>
        <w:rPr>
          <w:rFonts w:hint="eastAsia" w:ascii="宋体" w:hAnsi="宋体" w:eastAsia="宋体" w:cs="Times New Roman"/>
          <w:kern w:val="0"/>
          <w:sz w:val="24"/>
          <w:szCs w:val="24"/>
          <w:u w:val="single"/>
          <w:lang w:val="en-US" w:eastAsia="zh-CN"/>
        </w:rPr>
        <w:t xml:space="preserve">  1年（12个月）。合同期满后，采购人将对成交供应商的服务质量、工作内容等进行考核（以《西安理工大学教育网出口带宽服务考核表》为准），考核合格，合同价款不变的情况下，续签下一年度合同，最多续签两年，总服务期不超过3年。</w:t>
      </w:r>
    </w:p>
    <w:p w14:paraId="0898A0E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五、知识产权</w:t>
      </w:r>
    </w:p>
    <w:p w14:paraId="62613872">
      <w:pPr>
        <w:widowControl/>
        <w:spacing w:line="360" w:lineRule="auto"/>
        <w:ind w:firstLine="480" w:firstLineChars="200"/>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乙方应保证所提供的服务或其任何一部分均不会侵犯任何第三方的专利权、商标权或著作权。</w:t>
      </w:r>
    </w:p>
    <w:p w14:paraId="46BF63A7">
      <w:pPr>
        <w:widowControl/>
        <w:spacing w:line="360" w:lineRule="auto"/>
        <w:ind w:firstLine="480" w:firstLineChars="200"/>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乙方保证所提供的服务的所有权完全属于乙方且无任何抵押、查封等产权瑕疵。如有产权瑕疵的，视为乙方违约。乙方应负担由此而产生的一切损失。</w:t>
      </w:r>
    </w:p>
    <w:p w14:paraId="375EC94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六、验收要求</w:t>
      </w:r>
    </w:p>
    <w:p w14:paraId="4A5C4078">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（一）质量标准</w:t>
      </w:r>
    </w:p>
    <w:p w14:paraId="502224B8">
      <w:pPr>
        <w:widowControl/>
        <w:spacing w:line="360" w:lineRule="auto"/>
        <w:ind w:firstLine="480" w:firstLineChars="200"/>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乙方保证提供的服务质量应符合中华人民共和国相关标准及相应的技术规范、本次采购相关文件中的全部相关要求及乙方相关服务标准及相应的技术规范中之较高者。</w:t>
      </w:r>
    </w:p>
    <w:p w14:paraId="48E77A9D">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（二）验收组织</w:t>
      </w:r>
    </w:p>
    <w:p w14:paraId="7357B5B8">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 xml:space="preserve">    项目所有服务和产品无故障运行至少30天后，中标服务商提出书面验收申请，由学校以合同、招投标文件、澄清及国家相应的标准、规范等为依据，负责组织验收。</w:t>
      </w:r>
    </w:p>
    <w:p w14:paraId="06E34823">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七、甲方的权利和义务</w:t>
      </w:r>
    </w:p>
    <w:p w14:paraId="58531698">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（一）甲方有权对合同规定范围内乙方的服务行为进行监督和检查，拥有监管权。有权定期核对乙方提供服务所配备的人员数量。对甲方认为不合理的部分有权下达整改通知书，并要求乙方限期整改。</w:t>
      </w:r>
    </w:p>
    <w:p w14:paraId="0696A1AF">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（二）甲方有权依据双方签订的合同约定对乙方提供的服务进行定期考评。当考评结果未达到标准时，有权依据约定的数额延迟付款或扣除履约保证金。</w:t>
      </w:r>
    </w:p>
    <w:p w14:paraId="5BC56F98">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（三）负责检查监督乙方管理工作的实施及制度的执行情况。</w:t>
      </w:r>
    </w:p>
    <w:p w14:paraId="4056FCD3">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（四）根据本合同规定，按时向乙方支付应付服务费用。</w:t>
      </w:r>
    </w:p>
    <w:p w14:paraId="642E05FD">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（五）国家法律、法规所规定由甲方承担的其它责任。</w:t>
      </w:r>
    </w:p>
    <w:p w14:paraId="54A8A4DC">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八、乙方的权利和义务</w:t>
      </w:r>
    </w:p>
    <w:p w14:paraId="64C95F9D">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 对本合同规定的委托服务范围内的项目享有管理权及服务义务。</w:t>
      </w:r>
    </w:p>
    <w:p w14:paraId="1C66061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（二）根据本合同的规定向甲方收取相关服务费用，并有权在本项目管理范围内管理及合理使用。</w:t>
      </w:r>
    </w:p>
    <w:p w14:paraId="11057EF3">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（三）及时向甲方通告本项目服务范围内有关服务的重大事项，及时配合处理投诉。</w:t>
      </w:r>
    </w:p>
    <w:p w14:paraId="1AE3DFC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（四）接受项目行业管理部门及政府有关部门的指导，接受甲方的监督。</w:t>
      </w:r>
    </w:p>
    <w:p w14:paraId="330CDBA4">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（五）国家法律、法规所规定由乙方承担的其它责任。</w:t>
      </w:r>
    </w:p>
    <w:p w14:paraId="0F52F03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九、售后服务</w:t>
      </w:r>
    </w:p>
    <w:p w14:paraId="7BD5DB9F">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（一）乙方对合同服务的质量保证期为验收合格后之日起</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个月。</w:t>
      </w:r>
    </w:p>
    <w:p w14:paraId="56574FB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6E99B0C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（三）如乙方在收到通知后，没有弥补缺陷，甲方可采取必要的补救措施，但由此引发的风险和费用将由乙方承担。</w:t>
      </w:r>
    </w:p>
    <w:p w14:paraId="19200DA7">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十、违约责任</w:t>
      </w:r>
    </w:p>
    <w:p w14:paraId="7DB8723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（一）合同生效后，甲乙双方应按合同规定认真履约。合同履约责任只涉及合同甲乙双方，不考虑第三方因素。</w:t>
      </w:r>
    </w:p>
    <w:p w14:paraId="2803A5AB">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EF74F63">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（三）如乙方提供的服务构成第三方知识产权侵权，由乙方承担全部责任。</w:t>
      </w:r>
    </w:p>
    <w:p w14:paraId="60AD60A1">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w:t>
      </w:r>
      <w:r>
        <w:rPr>
          <w:rFonts w:ascii="宋体" w:hAnsi="宋体" w:eastAsia="宋体" w:cs="Times New Roman"/>
          <w:kern w:val="0"/>
          <w:sz w:val="24"/>
          <w:szCs w:val="24"/>
          <w:u w:val="single"/>
          <w:lang w:eastAsia="zh-Hans"/>
        </w:rPr>
        <w:t>3‰</w:t>
      </w:r>
      <w:r>
        <w:rPr>
          <w:rFonts w:hint="eastAsia" w:ascii="宋体" w:hAnsi="宋体" w:eastAsia="宋体" w:cs="Times New Roman"/>
          <w:kern w:val="0"/>
          <w:sz w:val="24"/>
          <w:szCs w:val="24"/>
          <w:u w:val="single"/>
          <w:lang w:val="en-US" w:eastAsia="zh-CN"/>
        </w:rPr>
        <w:t xml:space="preserve">  </w:t>
      </w:r>
      <w:r>
        <w:rPr>
          <w:rFonts w:ascii="宋体" w:hAnsi="宋体" w:eastAsia="宋体" w:cs="Times New Roman"/>
          <w:kern w:val="0"/>
          <w:sz w:val="24"/>
          <w:szCs w:val="24"/>
          <w:lang w:eastAsia="zh-Hans"/>
        </w:rPr>
        <w:t>的滞纳金。</w:t>
      </w:r>
    </w:p>
    <w:p w14:paraId="7660EE41">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（五）除不可抗力原因外，如遇下列情况之一者，乙方</w:t>
      </w:r>
      <w:r>
        <w:rPr>
          <w:rFonts w:hint="eastAsia" w:ascii="宋体" w:hAnsi="宋体" w:eastAsia="宋体" w:cs="Times New Roman"/>
          <w:kern w:val="0"/>
          <w:sz w:val="24"/>
          <w:szCs w:val="24"/>
          <w:lang w:val="en-US" w:eastAsia="zh-CN"/>
        </w:rPr>
        <w:t>应按合同应付款</w:t>
      </w:r>
      <w:r>
        <w:rPr>
          <w:rFonts w:hint="eastAsia" w:ascii="宋体" w:hAnsi="宋体" w:eastAsia="宋体" w:cs="Times New Roman"/>
          <w:kern w:val="0"/>
          <w:sz w:val="24"/>
          <w:szCs w:val="24"/>
          <w:u w:val="single"/>
          <w:lang w:val="en-US" w:eastAsia="zh-CN"/>
        </w:rPr>
        <w:t xml:space="preserve">    ‰ </w:t>
      </w:r>
      <w:r>
        <w:rPr>
          <w:rFonts w:ascii="宋体" w:hAnsi="宋体" w:eastAsia="宋体" w:cs="Times New Roman"/>
          <w:kern w:val="0"/>
          <w:sz w:val="24"/>
          <w:szCs w:val="24"/>
          <w:lang w:eastAsia="zh-Hans"/>
        </w:rPr>
        <w:t>对甲方</w:t>
      </w:r>
      <w:r>
        <w:rPr>
          <w:rFonts w:hint="eastAsia" w:ascii="宋体" w:hAnsi="宋体" w:eastAsia="宋体" w:cs="Times New Roman"/>
          <w:kern w:val="0"/>
          <w:sz w:val="24"/>
          <w:szCs w:val="24"/>
          <w:lang w:val="en-US" w:eastAsia="zh-CN"/>
        </w:rPr>
        <w:t>进行</w:t>
      </w:r>
      <w:r>
        <w:rPr>
          <w:rFonts w:ascii="宋体" w:hAnsi="宋体" w:eastAsia="宋体" w:cs="Times New Roman"/>
          <w:kern w:val="0"/>
          <w:sz w:val="24"/>
          <w:szCs w:val="24"/>
          <w:lang w:eastAsia="zh-Hans"/>
        </w:rPr>
        <w:t>赔偿：（1）合同签订后不能按合同时限要求提供服务；（2）所提供服务与合同不符；（3）不能按合同履约；（4）项目验收不合格。</w:t>
      </w:r>
    </w:p>
    <w:p w14:paraId="7FA137C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十</w:t>
      </w:r>
      <w:r>
        <w:rPr>
          <w:rFonts w:ascii="宋体" w:hAnsi="宋体" w:eastAsia="宋体" w:cs="Times New Roman"/>
          <w:kern w:val="0"/>
          <w:sz w:val="24"/>
          <w:szCs w:val="24"/>
        </w:rPr>
        <w:t>一</w:t>
      </w:r>
      <w:r>
        <w:rPr>
          <w:rFonts w:ascii="宋体" w:hAnsi="宋体" w:eastAsia="宋体" w:cs="Times New Roman"/>
          <w:kern w:val="0"/>
          <w:sz w:val="24"/>
          <w:szCs w:val="24"/>
          <w:lang w:eastAsia="zh-Hans"/>
        </w:rPr>
        <w:t>、 不可抗力事件处理</w:t>
      </w:r>
    </w:p>
    <w:p w14:paraId="66E603B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（一）在合同有效期内，任何一方因不可抗力事件导致不能履行合同，则合同履行期可延长，其延长期与不可抗力影响期相同。</w:t>
      </w:r>
    </w:p>
    <w:p w14:paraId="212A7541">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（二）不可抗力事件发生后，应立即通知对方，并寄送有关权威机构出具的证明。</w:t>
      </w:r>
    </w:p>
    <w:p w14:paraId="74E1014C">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（三）不可抗力事件延续30天以上，双方应通过友好协商，确定是否继续履行合同。</w:t>
      </w:r>
    </w:p>
    <w:p w14:paraId="76FBB3C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十二、合同的终止</w:t>
      </w:r>
    </w:p>
    <w:p w14:paraId="312C93D0">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（一）本合同因下列原因而终止：</w:t>
      </w:r>
    </w:p>
    <w:p w14:paraId="162F672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1、本合同正常履行完毕；</w:t>
      </w:r>
    </w:p>
    <w:p w14:paraId="3395462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2、合同双方协议终止本合同的履行；</w:t>
      </w:r>
    </w:p>
    <w:p w14:paraId="00B0C067">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3、不可抗力事件导致本合同无法履行或履行不必要；</w:t>
      </w:r>
    </w:p>
    <w:p w14:paraId="17D1E36C">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4、符合本合同约定的其他终止合同的条款。</w:t>
      </w:r>
    </w:p>
    <w:p w14:paraId="6A0E5BF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（二）对本合同终止有过错的一方应赔偿另一方因合同终止而受到的损失。对合同终止双方均无过错的，则各自承担所受到的损失。</w:t>
      </w:r>
    </w:p>
    <w:p w14:paraId="43EAB469">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十三、其他事项</w:t>
      </w:r>
    </w:p>
    <w:p w14:paraId="1E17FF9B">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（一）合同经双方签字盖章后生效。本合同一式</w:t>
      </w:r>
      <w:r>
        <w:rPr>
          <w:rFonts w:ascii="宋体" w:hAnsi="宋体" w:eastAsia="宋体" w:cs="Times New Roman"/>
          <w:kern w:val="0"/>
          <w:sz w:val="24"/>
          <w:szCs w:val="24"/>
          <w:u w:val="single"/>
        </w:rPr>
        <w:t xml:space="preserve">  </w:t>
      </w:r>
      <w:r>
        <w:rPr>
          <w:rFonts w:ascii="宋体" w:hAnsi="宋体" w:eastAsia="宋体" w:cs="Times New Roman"/>
          <w:kern w:val="0"/>
          <w:sz w:val="24"/>
          <w:szCs w:val="24"/>
          <w:lang w:eastAsia="zh-Hans"/>
        </w:rPr>
        <w:t>份，甲方执</w:t>
      </w:r>
      <w:r>
        <w:rPr>
          <w:rFonts w:ascii="宋体" w:hAnsi="宋体" w:eastAsia="宋体" w:cs="Times New Roman"/>
          <w:kern w:val="0"/>
          <w:sz w:val="24"/>
          <w:szCs w:val="24"/>
          <w:u w:val="single"/>
        </w:rPr>
        <w:t xml:space="preserve">  </w:t>
      </w:r>
      <w:r>
        <w:rPr>
          <w:rFonts w:ascii="宋体" w:hAnsi="宋体" w:eastAsia="宋体" w:cs="Times New Roman"/>
          <w:kern w:val="0"/>
          <w:sz w:val="24"/>
          <w:szCs w:val="24"/>
          <w:lang w:eastAsia="zh-Hans"/>
        </w:rPr>
        <w:t>份，乙方执</w:t>
      </w:r>
      <w:r>
        <w:rPr>
          <w:rFonts w:ascii="宋体" w:hAnsi="宋体" w:eastAsia="宋体" w:cs="Times New Roman"/>
          <w:kern w:val="0"/>
          <w:sz w:val="24"/>
          <w:szCs w:val="24"/>
          <w:u w:val="single"/>
        </w:rPr>
        <w:t xml:space="preserve">  </w:t>
      </w:r>
      <w:r>
        <w:rPr>
          <w:rFonts w:ascii="宋体" w:hAnsi="宋体" w:eastAsia="宋体" w:cs="Times New Roman"/>
          <w:kern w:val="0"/>
          <w:sz w:val="24"/>
          <w:szCs w:val="24"/>
          <w:lang w:eastAsia="zh-Hans"/>
        </w:rPr>
        <w:t>份，</w:t>
      </w:r>
      <w:bookmarkStart w:id="0" w:name="_GoBack"/>
      <w:bookmarkEnd w:id="0"/>
      <w:r>
        <w:rPr>
          <w:rFonts w:ascii="宋体" w:hAnsi="宋体" w:eastAsia="宋体" w:cs="Times New Roman"/>
          <w:kern w:val="0"/>
          <w:sz w:val="24"/>
          <w:szCs w:val="24"/>
          <w:lang w:eastAsia="zh-Hans"/>
        </w:rPr>
        <w:t>执行完毕后自行失效。</w:t>
      </w:r>
    </w:p>
    <w:p w14:paraId="19B5A086">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（二）下述文件为本合同的一部分，并与本合同一起阅读和解释，且具有同等法律效力：</w:t>
      </w:r>
    </w:p>
    <w:p w14:paraId="67DBE588">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1、合同附件1：服务内容、要求及标准；</w:t>
      </w:r>
    </w:p>
    <w:p w14:paraId="7A017CBA">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2、合同附件2：补充条款（如果有）；</w:t>
      </w:r>
    </w:p>
    <w:p w14:paraId="261AE21C">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3、合同附件3：澄清函及最终报价和承诺；</w:t>
      </w:r>
    </w:p>
    <w:p w14:paraId="70610D6F">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4、招标文件；</w:t>
      </w:r>
    </w:p>
    <w:p w14:paraId="564D3D2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5、投标文件；</w:t>
      </w:r>
    </w:p>
    <w:p w14:paraId="6C30F03D">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6、中标通知书。</w:t>
      </w:r>
    </w:p>
    <w:p w14:paraId="2C7D4EE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（三）在本合同执行过程中，甲、乙双方协商签订的补充合同与原合同具有同等法律效力。</w:t>
      </w:r>
    </w:p>
    <w:p w14:paraId="5E486F0C">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（四）未尽事宜，双方协商解决。</w:t>
      </w:r>
    </w:p>
    <w:p w14:paraId="1BD9009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（五）合同签订地点：西安.西北大学</w:t>
      </w:r>
    </w:p>
    <w:p w14:paraId="6EF97E65">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（六）合同签订时间：　　 　　年　  月　  日</w:t>
      </w:r>
    </w:p>
    <w:p w14:paraId="7472D017">
      <w:pPr>
        <w:widowControl/>
        <w:spacing w:line="360" w:lineRule="auto"/>
        <w:jc w:val="left"/>
        <w:rPr>
          <w:rFonts w:hint="eastAsia" w:ascii="宋体" w:hAnsi="宋体" w:eastAsia="宋体" w:cs="Times New Roman"/>
          <w:kern w:val="0"/>
          <w:sz w:val="24"/>
          <w:szCs w:val="24"/>
        </w:rPr>
      </w:pPr>
      <w:r>
        <w:rPr>
          <w:rFonts w:ascii="宋体" w:hAnsi="宋体" w:eastAsia="宋体" w:cs="Times New Roman"/>
          <w:kern w:val="0"/>
          <w:sz w:val="24"/>
          <w:szCs w:val="24"/>
          <w:lang w:eastAsia="zh-Hans"/>
        </w:rPr>
        <w:t>（以下无正文）</w:t>
      </w:r>
    </w:p>
    <w:p w14:paraId="73A5F5AB">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甲    方                                      乙    方（全填）</w:t>
      </w:r>
    </w:p>
    <w:p w14:paraId="40CE8FF1">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单位名称（盖章）：                             单位名称（盖章）：</w:t>
      </w:r>
    </w:p>
    <w:p w14:paraId="4F74DCE7">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地    址：                                    地    址：</w:t>
      </w:r>
    </w:p>
    <w:p w14:paraId="514B6747">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法定代表人：                                 法定代表人：（盖章/签字）</w:t>
      </w:r>
    </w:p>
    <w:p w14:paraId="54C5F512">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委托代理人：（签字）                           委托代理人：（签字）</w:t>
      </w:r>
    </w:p>
    <w:p w14:paraId="49578B0E">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电话：　　　　　　　　　　　　　　　　　　　　电话：</w:t>
      </w:r>
    </w:p>
    <w:p w14:paraId="3E7E77EB">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传真：                                    　　传真：</w:t>
      </w:r>
    </w:p>
    <w:p w14:paraId="14CB586D">
      <w:pPr>
        <w:widowControl/>
        <w:spacing w:line="360" w:lineRule="auto"/>
        <w:jc w:val="left"/>
        <w:rPr>
          <w:rFonts w:hint="eastAsia" w:ascii="宋体" w:hAnsi="宋体" w:eastAsia="宋体" w:cs="Times New Roman"/>
          <w:kern w:val="0"/>
          <w:sz w:val="24"/>
          <w:szCs w:val="24"/>
          <w:lang w:eastAsia="zh-Hans"/>
        </w:rPr>
      </w:pPr>
      <w:r>
        <w:rPr>
          <w:rFonts w:ascii="宋体" w:hAnsi="宋体" w:eastAsia="宋体" w:cs="Times New Roman"/>
          <w:kern w:val="0"/>
          <w:sz w:val="24"/>
          <w:szCs w:val="24"/>
          <w:lang w:eastAsia="zh-Hans"/>
        </w:rPr>
        <w:t>邮编：　　　　　　　　　　　　　　　　　　　　邮编：</w:t>
      </w:r>
    </w:p>
    <w:p w14:paraId="74F9C272">
      <w:pPr>
        <w:widowControl/>
        <w:spacing w:line="360" w:lineRule="auto"/>
        <w:jc w:val="left"/>
        <w:rPr>
          <w:rFonts w:ascii="宋体" w:hAnsi="宋体" w:eastAsia="宋体" w:cs="Times New Roman"/>
          <w:kern w:val="0"/>
          <w:sz w:val="24"/>
          <w:szCs w:val="24"/>
          <w:lang w:eastAsia="zh-Hans"/>
        </w:rPr>
      </w:pPr>
      <w:r>
        <w:rPr>
          <w:rFonts w:ascii="宋体" w:hAnsi="宋体" w:eastAsia="宋体" w:cs="Times New Roman"/>
          <w:kern w:val="0"/>
          <w:sz w:val="24"/>
          <w:szCs w:val="24"/>
          <w:lang w:eastAsia="zh-Hans"/>
        </w:rPr>
        <w:t>　　　　　　　　　　　　　　　　　　　　　开户银行及账号：</w:t>
      </w:r>
    </w:p>
    <w:p w14:paraId="580C1035">
      <w:pPr>
        <w:rPr>
          <w:rFonts w:ascii="宋体" w:hAnsi="宋体" w:eastAsia="宋体" w:cs="Times New Roman"/>
          <w:kern w:val="0"/>
          <w:sz w:val="24"/>
          <w:szCs w:val="24"/>
          <w:lang w:eastAsia="zh-Hans"/>
        </w:rPr>
      </w:pPr>
      <w:r>
        <w:rPr>
          <w:rFonts w:ascii="宋体" w:hAnsi="宋体" w:eastAsia="宋体" w:cs="Times New Roman"/>
          <w:kern w:val="0"/>
          <w:sz w:val="24"/>
          <w:szCs w:val="24"/>
          <w:lang w:eastAsia="zh-Hans"/>
        </w:rPr>
        <w:br w:type="page"/>
      </w:r>
    </w:p>
    <w:p w14:paraId="7F3C0B14">
      <w:pPr>
        <w:widowControl/>
        <w:spacing w:line="360" w:lineRule="auto"/>
        <w:jc w:val="left"/>
        <w:rPr>
          <w:rFonts w:hint="eastAsia"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附件：</w:t>
      </w:r>
    </w:p>
    <w:tbl>
      <w:tblPr>
        <w:tblStyle w:val="7"/>
        <w:tblW w:w="9700" w:type="dxa"/>
        <w:jc w:val="center"/>
        <w:tblLayout w:type="autofit"/>
        <w:tblCellMar>
          <w:top w:w="0" w:type="dxa"/>
          <w:left w:w="108" w:type="dxa"/>
          <w:bottom w:w="0" w:type="dxa"/>
          <w:right w:w="108" w:type="dxa"/>
        </w:tblCellMar>
      </w:tblPr>
      <w:tblGrid>
        <w:gridCol w:w="969"/>
        <w:gridCol w:w="3334"/>
        <w:gridCol w:w="4480"/>
        <w:gridCol w:w="917"/>
      </w:tblGrid>
      <w:tr w14:paraId="19728401">
        <w:tblPrEx>
          <w:tblCellMar>
            <w:top w:w="0" w:type="dxa"/>
            <w:left w:w="108" w:type="dxa"/>
            <w:bottom w:w="0" w:type="dxa"/>
            <w:right w:w="108" w:type="dxa"/>
          </w:tblCellMar>
        </w:tblPrEx>
        <w:trPr>
          <w:trHeight w:val="632" w:hRule="atLeast"/>
          <w:jc w:val="center"/>
        </w:trPr>
        <w:tc>
          <w:tcPr>
            <w:tcW w:w="9700" w:type="dxa"/>
            <w:gridSpan w:val="4"/>
            <w:tcBorders>
              <w:top w:val="single" w:color="auto" w:sz="8" w:space="0"/>
              <w:left w:val="single" w:color="auto" w:sz="8" w:space="0"/>
              <w:bottom w:val="single" w:color="auto" w:sz="8" w:space="0"/>
              <w:right w:val="single" w:color="auto" w:sz="8" w:space="0"/>
            </w:tcBorders>
            <w:vAlign w:val="center"/>
          </w:tcPr>
          <w:p w14:paraId="0F85C20F">
            <w:pPr>
              <w:widowControl/>
              <w:spacing w:line="360" w:lineRule="auto"/>
              <w:jc w:val="center"/>
              <w:rPr>
                <w:rFonts w:hint="eastAsia" w:ascii="新宋体" w:hAnsi="新宋体" w:eastAsia="新宋体" w:cs="新宋体"/>
                <w:color w:val="000000"/>
                <w:sz w:val="24"/>
                <w:szCs w:val="24"/>
              </w:rPr>
            </w:pPr>
            <w:r>
              <w:rPr>
                <w:rFonts w:hint="eastAsia" w:ascii="新宋体" w:hAnsi="新宋体" w:eastAsia="新宋体" w:cs="新宋体"/>
                <w:sz w:val="24"/>
                <w:szCs w:val="24"/>
                <w:highlight w:val="none"/>
              </w:rPr>
              <w:t>西安理工大学教育网出口带宽服务考核表</w:t>
            </w:r>
          </w:p>
        </w:tc>
      </w:tr>
      <w:tr w14:paraId="5DA17247">
        <w:tblPrEx>
          <w:tblCellMar>
            <w:top w:w="0" w:type="dxa"/>
            <w:left w:w="108" w:type="dxa"/>
            <w:bottom w:w="0" w:type="dxa"/>
            <w:right w:w="108" w:type="dxa"/>
          </w:tblCellMar>
        </w:tblPrEx>
        <w:trPr>
          <w:trHeight w:val="477" w:hRule="atLeast"/>
          <w:jc w:val="center"/>
        </w:trPr>
        <w:tc>
          <w:tcPr>
            <w:tcW w:w="9700" w:type="dxa"/>
            <w:gridSpan w:val="4"/>
            <w:tcBorders>
              <w:top w:val="single" w:color="auto" w:sz="8" w:space="0"/>
              <w:left w:val="single" w:color="auto" w:sz="8" w:space="0"/>
              <w:bottom w:val="single" w:color="auto" w:sz="8" w:space="0"/>
              <w:right w:val="single" w:color="auto" w:sz="8" w:space="0"/>
            </w:tcBorders>
            <w:vAlign w:val="center"/>
          </w:tcPr>
          <w:p w14:paraId="593EE9F0">
            <w:pPr>
              <w:widowControl/>
              <w:spacing w:line="360" w:lineRule="auto"/>
              <w:jc w:val="left"/>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rPr>
              <w:t>打分单位：西安理工大学 信息化管理处</w:t>
            </w:r>
          </w:p>
        </w:tc>
      </w:tr>
      <w:tr w14:paraId="3635B4D6">
        <w:tblPrEx>
          <w:tblCellMar>
            <w:top w:w="0" w:type="dxa"/>
            <w:left w:w="108" w:type="dxa"/>
            <w:bottom w:w="0" w:type="dxa"/>
            <w:right w:w="108" w:type="dxa"/>
          </w:tblCellMar>
        </w:tblPrEx>
        <w:trPr>
          <w:trHeight w:val="477" w:hRule="atLeast"/>
          <w:jc w:val="center"/>
        </w:trPr>
        <w:tc>
          <w:tcPr>
            <w:tcW w:w="9700" w:type="dxa"/>
            <w:gridSpan w:val="4"/>
            <w:tcBorders>
              <w:top w:val="single" w:color="auto" w:sz="8" w:space="0"/>
              <w:left w:val="single" w:color="auto" w:sz="8" w:space="0"/>
              <w:bottom w:val="single" w:color="auto" w:sz="8" w:space="0"/>
              <w:right w:val="single" w:color="auto" w:sz="8" w:space="0"/>
            </w:tcBorders>
            <w:vAlign w:val="center"/>
          </w:tcPr>
          <w:p w14:paraId="15AA02AF">
            <w:pPr>
              <w:widowControl/>
              <w:spacing w:line="360" w:lineRule="auto"/>
              <w:jc w:val="left"/>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rPr>
              <w:t xml:space="preserve">考核日期： </w:t>
            </w:r>
          </w:p>
        </w:tc>
      </w:tr>
      <w:tr w14:paraId="5C12B734">
        <w:tblPrEx>
          <w:tblCellMar>
            <w:top w:w="0" w:type="dxa"/>
            <w:left w:w="108" w:type="dxa"/>
            <w:bottom w:w="0" w:type="dxa"/>
            <w:right w:w="108" w:type="dxa"/>
          </w:tblCellMar>
        </w:tblPrEx>
        <w:trPr>
          <w:trHeight w:val="477" w:hRule="atLeast"/>
          <w:jc w:val="center"/>
        </w:trPr>
        <w:tc>
          <w:tcPr>
            <w:tcW w:w="969" w:type="dxa"/>
            <w:tcBorders>
              <w:top w:val="single" w:color="000000" w:sz="4" w:space="0"/>
              <w:left w:val="single" w:color="000000" w:sz="4" w:space="0"/>
              <w:bottom w:val="single" w:color="000000" w:sz="4" w:space="0"/>
              <w:right w:val="single" w:color="auto" w:sz="4" w:space="0"/>
            </w:tcBorders>
            <w:vAlign w:val="center"/>
          </w:tcPr>
          <w:p w14:paraId="45675799">
            <w:pPr>
              <w:spacing w:line="360" w:lineRule="auto"/>
              <w:jc w:val="center"/>
              <w:rPr>
                <w:rFonts w:hint="eastAsia" w:ascii="新宋体" w:hAnsi="新宋体" w:eastAsia="新宋体" w:cs="新宋体"/>
                <w:kern w:val="2"/>
                <w:sz w:val="24"/>
                <w:szCs w:val="24"/>
              </w:rPr>
            </w:pPr>
            <w:r>
              <w:rPr>
                <w:rFonts w:hint="eastAsia" w:ascii="新宋体" w:hAnsi="新宋体" w:eastAsia="新宋体" w:cs="新宋体"/>
                <w:sz w:val="24"/>
                <w:szCs w:val="24"/>
              </w:rPr>
              <w:t>序号</w:t>
            </w:r>
          </w:p>
        </w:tc>
        <w:tc>
          <w:tcPr>
            <w:tcW w:w="7814" w:type="dxa"/>
            <w:gridSpan w:val="2"/>
            <w:tcBorders>
              <w:top w:val="single" w:color="000000" w:sz="4" w:space="0"/>
              <w:left w:val="single" w:color="auto" w:sz="4" w:space="0"/>
              <w:bottom w:val="single" w:color="000000" w:sz="4" w:space="0"/>
              <w:right w:val="single" w:color="000000" w:sz="4" w:space="0"/>
            </w:tcBorders>
            <w:vAlign w:val="center"/>
          </w:tcPr>
          <w:p w14:paraId="28986AF7">
            <w:pPr>
              <w:spacing w:line="360"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评分标准</w:t>
            </w:r>
          </w:p>
        </w:tc>
        <w:tc>
          <w:tcPr>
            <w:tcW w:w="917" w:type="dxa"/>
            <w:tcBorders>
              <w:top w:val="single" w:color="000000" w:sz="4" w:space="0"/>
              <w:left w:val="single" w:color="000000" w:sz="4" w:space="0"/>
              <w:bottom w:val="single" w:color="000000" w:sz="4" w:space="0"/>
              <w:right w:val="single" w:color="000000" w:sz="4" w:space="0"/>
            </w:tcBorders>
            <w:vAlign w:val="center"/>
          </w:tcPr>
          <w:p w14:paraId="7A4C4C29">
            <w:pPr>
              <w:spacing w:line="360"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得分</w:t>
            </w:r>
          </w:p>
        </w:tc>
      </w:tr>
      <w:tr w14:paraId="50636774">
        <w:tblPrEx>
          <w:tblCellMar>
            <w:top w:w="0" w:type="dxa"/>
            <w:left w:w="108" w:type="dxa"/>
            <w:bottom w:w="0" w:type="dxa"/>
            <w:right w:w="108" w:type="dxa"/>
          </w:tblCellMar>
        </w:tblPrEx>
        <w:trPr>
          <w:trHeight w:val="710" w:hRule="atLeast"/>
          <w:jc w:val="center"/>
        </w:trPr>
        <w:tc>
          <w:tcPr>
            <w:tcW w:w="969" w:type="dxa"/>
            <w:tcBorders>
              <w:top w:val="single" w:color="000000" w:sz="4" w:space="0"/>
              <w:left w:val="single" w:color="000000" w:sz="4" w:space="0"/>
              <w:bottom w:val="single" w:color="auto" w:sz="4" w:space="0"/>
              <w:right w:val="single" w:color="000000" w:sz="4" w:space="0"/>
            </w:tcBorders>
            <w:vAlign w:val="center"/>
          </w:tcPr>
          <w:p w14:paraId="64930B21">
            <w:pPr>
              <w:pStyle w:val="11"/>
              <w:numPr>
                <w:ilvl w:val="0"/>
                <w:numId w:val="1"/>
              </w:numPr>
              <w:spacing w:line="276" w:lineRule="auto"/>
              <w:ind w:firstLineChars="0"/>
              <w:jc w:val="center"/>
              <w:rPr>
                <w:rFonts w:hint="eastAsia" w:ascii="新宋体" w:hAnsi="新宋体" w:eastAsia="新宋体" w:cs="新宋体"/>
                <w:sz w:val="24"/>
                <w:szCs w:val="24"/>
              </w:rPr>
            </w:pPr>
          </w:p>
        </w:tc>
        <w:tc>
          <w:tcPr>
            <w:tcW w:w="3334" w:type="dxa"/>
            <w:tcBorders>
              <w:top w:val="single" w:color="000000" w:sz="4" w:space="0"/>
              <w:left w:val="single" w:color="000000" w:sz="4" w:space="0"/>
              <w:bottom w:val="single" w:color="000000" w:sz="4" w:space="0"/>
              <w:right w:val="single" w:color="auto" w:sz="4" w:space="0"/>
            </w:tcBorders>
            <w:vAlign w:val="center"/>
          </w:tcPr>
          <w:p w14:paraId="5CAFC2BC">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带宽性能指标</w:t>
            </w:r>
          </w:p>
          <w:p w14:paraId="781EEA98">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（10分）</w:t>
            </w:r>
          </w:p>
        </w:tc>
        <w:tc>
          <w:tcPr>
            <w:tcW w:w="4480" w:type="dxa"/>
            <w:tcBorders>
              <w:top w:val="single" w:color="000000" w:sz="4" w:space="0"/>
              <w:left w:val="single" w:color="auto" w:sz="4" w:space="0"/>
              <w:bottom w:val="single" w:color="auto" w:sz="4" w:space="0"/>
              <w:right w:val="single" w:color="000000" w:sz="4" w:space="0"/>
            </w:tcBorders>
            <w:vAlign w:val="center"/>
          </w:tcPr>
          <w:p w14:paraId="08F335DE">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性能满足要求：10分</w:t>
            </w:r>
          </w:p>
          <w:p w14:paraId="551AC1DA">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性能不满足要求：扣10分。</w:t>
            </w:r>
          </w:p>
        </w:tc>
        <w:tc>
          <w:tcPr>
            <w:tcW w:w="917" w:type="dxa"/>
            <w:tcBorders>
              <w:top w:val="single" w:color="000000" w:sz="4" w:space="0"/>
              <w:left w:val="single" w:color="000000" w:sz="4" w:space="0"/>
              <w:bottom w:val="single" w:color="auto" w:sz="4" w:space="0"/>
              <w:right w:val="single" w:color="000000" w:sz="4" w:space="0"/>
            </w:tcBorders>
            <w:vAlign w:val="center"/>
          </w:tcPr>
          <w:p w14:paraId="7E8BB31D">
            <w:pPr>
              <w:spacing w:line="276" w:lineRule="auto"/>
              <w:jc w:val="center"/>
              <w:rPr>
                <w:rFonts w:hint="eastAsia" w:ascii="新宋体" w:hAnsi="新宋体" w:eastAsia="新宋体" w:cs="新宋体"/>
                <w:sz w:val="24"/>
                <w:szCs w:val="24"/>
              </w:rPr>
            </w:pPr>
          </w:p>
        </w:tc>
      </w:tr>
      <w:tr w14:paraId="3CC4EC55">
        <w:tblPrEx>
          <w:tblCellMar>
            <w:top w:w="0" w:type="dxa"/>
            <w:left w:w="108" w:type="dxa"/>
            <w:bottom w:w="0" w:type="dxa"/>
            <w:right w:w="108" w:type="dxa"/>
          </w:tblCellMar>
        </w:tblPrEx>
        <w:trPr>
          <w:trHeight w:val="1411" w:hRule="atLeast"/>
          <w:jc w:val="center"/>
        </w:trPr>
        <w:tc>
          <w:tcPr>
            <w:tcW w:w="969" w:type="dxa"/>
            <w:tcBorders>
              <w:top w:val="single" w:color="000000" w:sz="4" w:space="0"/>
              <w:left w:val="single" w:color="000000" w:sz="4" w:space="0"/>
              <w:bottom w:val="single" w:color="auto" w:sz="4" w:space="0"/>
              <w:right w:val="single" w:color="000000" w:sz="4" w:space="0"/>
            </w:tcBorders>
            <w:vAlign w:val="center"/>
          </w:tcPr>
          <w:p w14:paraId="6E97C486">
            <w:pPr>
              <w:pStyle w:val="11"/>
              <w:numPr>
                <w:ilvl w:val="0"/>
                <w:numId w:val="1"/>
              </w:numPr>
              <w:spacing w:line="276" w:lineRule="auto"/>
              <w:ind w:firstLineChars="0"/>
              <w:jc w:val="center"/>
              <w:rPr>
                <w:rFonts w:hint="eastAsia" w:ascii="新宋体" w:hAnsi="新宋体" w:eastAsia="新宋体" w:cs="新宋体"/>
                <w:sz w:val="24"/>
                <w:szCs w:val="24"/>
              </w:rPr>
            </w:pPr>
          </w:p>
        </w:tc>
        <w:tc>
          <w:tcPr>
            <w:tcW w:w="3334" w:type="dxa"/>
            <w:tcBorders>
              <w:top w:val="single" w:color="000000" w:sz="4" w:space="0"/>
              <w:left w:val="single" w:color="000000" w:sz="4" w:space="0"/>
              <w:bottom w:val="single" w:color="000000" w:sz="4" w:space="0"/>
              <w:right w:val="single" w:color="auto" w:sz="4" w:space="0"/>
            </w:tcBorders>
            <w:vAlign w:val="center"/>
          </w:tcPr>
          <w:p w14:paraId="0D12C0BA">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链路保障能力</w:t>
            </w:r>
          </w:p>
          <w:p w14:paraId="4F5B431D">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（20分）</w:t>
            </w:r>
          </w:p>
        </w:tc>
        <w:tc>
          <w:tcPr>
            <w:tcW w:w="4480" w:type="dxa"/>
            <w:tcBorders>
              <w:top w:val="single" w:color="000000" w:sz="4" w:space="0"/>
              <w:left w:val="single" w:color="auto" w:sz="4" w:space="0"/>
              <w:bottom w:val="single" w:color="auto" w:sz="4" w:space="0"/>
              <w:right w:val="single" w:color="000000" w:sz="4" w:space="0"/>
            </w:tcBorders>
            <w:vAlign w:val="center"/>
          </w:tcPr>
          <w:p w14:paraId="7B2A81E1">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服务期内，因供货方原因发生一次意外故障，故障时间大于30分钟的，每出现一次扣5分，最高扣20分。</w:t>
            </w:r>
          </w:p>
        </w:tc>
        <w:tc>
          <w:tcPr>
            <w:tcW w:w="917" w:type="dxa"/>
            <w:tcBorders>
              <w:top w:val="single" w:color="000000" w:sz="4" w:space="0"/>
              <w:left w:val="single" w:color="000000" w:sz="4" w:space="0"/>
              <w:bottom w:val="single" w:color="auto" w:sz="4" w:space="0"/>
              <w:right w:val="single" w:color="000000" w:sz="4" w:space="0"/>
            </w:tcBorders>
            <w:vAlign w:val="center"/>
          </w:tcPr>
          <w:p w14:paraId="28C5867B">
            <w:pPr>
              <w:spacing w:line="276" w:lineRule="auto"/>
              <w:jc w:val="center"/>
              <w:rPr>
                <w:rFonts w:hint="eastAsia" w:ascii="新宋体" w:hAnsi="新宋体" w:eastAsia="新宋体" w:cs="新宋体"/>
                <w:sz w:val="24"/>
                <w:szCs w:val="24"/>
              </w:rPr>
            </w:pPr>
          </w:p>
        </w:tc>
      </w:tr>
      <w:tr w14:paraId="1289E8EA">
        <w:tblPrEx>
          <w:tblCellMar>
            <w:top w:w="0" w:type="dxa"/>
            <w:left w:w="108" w:type="dxa"/>
            <w:bottom w:w="0" w:type="dxa"/>
            <w:right w:w="108" w:type="dxa"/>
          </w:tblCellMar>
        </w:tblPrEx>
        <w:trPr>
          <w:trHeight w:val="2111" w:hRule="atLeast"/>
          <w:jc w:val="center"/>
        </w:trPr>
        <w:tc>
          <w:tcPr>
            <w:tcW w:w="969" w:type="dxa"/>
            <w:tcBorders>
              <w:top w:val="single" w:color="000000" w:sz="4" w:space="0"/>
              <w:left w:val="single" w:color="000000" w:sz="4" w:space="0"/>
              <w:bottom w:val="single" w:color="auto" w:sz="4" w:space="0"/>
              <w:right w:val="single" w:color="000000" w:sz="4" w:space="0"/>
            </w:tcBorders>
            <w:vAlign w:val="center"/>
          </w:tcPr>
          <w:p w14:paraId="0186FD15">
            <w:pPr>
              <w:pStyle w:val="11"/>
              <w:numPr>
                <w:ilvl w:val="0"/>
                <w:numId w:val="1"/>
              </w:numPr>
              <w:spacing w:line="276" w:lineRule="auto"/>
              <w:ind w:firstLineChars="0"/>
              <w:jc w:val="center"/>
              <w:rPr>
                <w:rFonts w:hint="eastAsia" w:ascii="新宋体" w:hAnsi="新宋体" w:eastAsia="新宋体" w:cs="新宋体"/>
                <w:sz w:val="24"/>
                <w:szCs w:val="24"/>
              </w:rPr>
            </w:pPr>
          </w:p>
        </w:tc>
        <w:tc>
          <w:tcPr>
            <w:tcW w:w="3334" w:type="dxa"/>
            <w:tcBorders>
              <w:top w:val="single" w:color="000000" w:sz="4" w:space="0"/>
              <w:left w:val="single" w:color="000000" w:sz="4" w:space="0"/>
              <w:bottom w:val="single" w:color="000000" w:sz="4" w:space="0"/>
              <w:right w:val="single" w:color="auto" w:sz="4" w:space="0"/>
            </w:tcBorders>
            <w:vAlign w:val="center"/>
          </w:tcPr>
          <w:p w14:paraId="08DF7856">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服务响应</w:t>
            </w:r>
          </w:p>
          <w:p w14:paraId="32A7C780">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（40分）</w:t>
            </w:r>
          </w:p>
        </w:tc>
        <w:tc>
          <w:tcPr>
            <w:tcW w:w="4480" w:type="dxa"/>
            <w:tcBorders>
              <w:top w:val="single" w:color="000000" w:sz="4" w:space="0"/>
              <w:left w:val="single" w:color="auto" w:sz="4" w:space="0"/>
              <w:bottom w:val="single" w:color="auto" w:sz="4" w:space="0"/>
              <w:right w:val="single" w:color="000000" w:sz="4" w:space="0"/>
            </w:tcBorders>
            <w:vAlign w:val="center"/>
          </w:tcPr>
          <w:p w14:paraId="3CC4D1DF">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响应时间:接到故障电话后，立即响</w:t>
            </w:r>
          </w:p>
          <w:p w14:paraId="699D4E2B">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应，半小时内给出支持方式，如需上门服务，需要在2小时内到达现场，4小时内解决问题。应急处置超时，每出现一次扣5分，最高扣40分。</w:t>
            </w:r>
          </w:p>
        </w:tc>
        <w:tc>
          <w:tcPr>
            <w:tcW w:w="917" w:type="dxa"/>
            <w:tcBorders>
              <w:top w:val="single" w:color="000000" w:sz="4" w:space="0"/>
              <w:left w:val="single" w:color="000000" w:sz="4" w:space="0"/>
              <w:bottom w:val="single" w:color="auto" w:sz="4" w:space="0"/>
              <w:right w:val="single" w:color="000000" w:sz="4" w:space="0"/>
            </w:tcBorders>
            <w:vAlign w:val="center"/>
          </w:tcPr>
          <w:p w14:paraId="52CCB6B4">
            <w:pPr>
              <w:spacing w:line="276" w:lineRule="auto"/>
              <w:jc w:val="center"/>
              <w:rPr>
                <w:rFonts w:hint="eastAsia" w:ascii="新宋体" w:hAnsi="新宋体" w:eastAsia="新宋体" w:cs="新宋体"/>
                <w:sz w:val="24"/>
                <w:szCs w:val="24"/>
              </w:rPr>
            </w:pPr>
          </w:p>
        </w:tc>
      </w:tr>
      <w:tr w14:paraId="4A6B0109">
        <w:tblPrEx>
          <w:tblCellMar>
            <w:top w:w="0" w:type="dxa"/>
            <w:left w:w="108" w:type="dxa"/>
            <w:bottom w:w="0" w:type="dxa"/>
            <w:right w:w="108" w:type="dxa"/>
          </w:tblCellMar>
        </w:tblPrEx>
        <w:trPr>
          <w:trHeight w:val="1411" w:hRule="atLeast"/>
          <w:jc w:val="center"/>
        </w:trPr>
        <w:tc>
          <w:tcPr>
            <w:tcW w:w="969" w:type="dxa"/>
            <w:tcBorders>
              <w:top w:val="single" w:color="auto" w:sz="4" w:space="0"/>
              <w:left w:val="single" w:color="000000" w:sz="4" w:space="0"/>
              <w:bottom w:val="single" w:color="auto" w:sz="4" w:space="0"/>
              <w:right w:val="single" w:color="000000" w:sz="4" w:space="0"/>
            </w:tcBorders>
            <w:vAlign w:val="center"/>
          </w:tcPr>
          <w:p w14:paraId="059331A3">
            <w:pPr>
              <w:pStyle w:val="11"/>
              <w:numPr>
                <w:ilvl w:val="0"/>
                <w:numId w:val="1"/>
              </w:numPr>
              <w:spacing w:line="276" w:lineRule="auto"/>
              <w:ind w:firstLineChars="0"/>
              <w:jc w:val="center"/>
              <w:rPr>
                <w:rFonts w:hint="eastAsia" w:ascii="新宋体" w:hAnsi="新宋体" w:eastAsia="新宋体" w:cs="新宋体"/>
                <w:sz w:val="24"/>
                <w:szCs w:val="24"/>
              </w:rPr>
            </w:pPr>
          </w:p>
        </w:tc>
        <w:tc>
          <w:tcPr>
            <w:tcW w:w="3334" w:type="dxa"/>
            <w:tcBorders>
              <w:top w:val="single" w:color="000000" w:sz="4" w:space="0"/>
              <w:left w:val="single" w:color="000000" w:sz="4" w:space="0"/>
              <w:bottom w:val="single" w:color="000000" w:sz="4" w:space="0"/>
              <w:right w:val="single" w:color="auto" w:sz="4" w:space="0"/>
            </w:tcBorders>
            <w:vAlign w:val="center"/>
          </w:tcPr>
          <w:p w14:paraId="7AE3E6CB">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巡检服务</w:t>
            </w:r>
          </w:p>
          <w:p w14:paraId="1419FCE0">
            <w:pPr>
              <w:pStyle w:val="6"/>
              <w:spacing w:line="276" w:lineRule="auto"/>
              <w:ind w:left="480"/>
              <w:rPr>
                <w:rFonts w:hint="eastAsia" w:ascii="新宋体" w:hAnsi="新宋体" w:eastAsia="新宋体" w:cs="新宋体"/>
                <w:sz w:val="24"/>
                <w:szCs w:val="24"/>
              </w:rPr>
            </w:pPr>
            <w:r>
              <w:rPr>
                <w:rFonts w:hint="eastAsia" w:ascii="新宋体" w:hAnsi="新宋体" w:eastAsia="新宋体" w:cs="新宋体"/>
                <w:sz w:val="24"/>
                <w:szCs w:val="24"/>
              </w:rPr>
              <w:t>（20分）</w:t>
            </w:r>
          </w:p>
        </w:tc>
        <w:tc>
          <w:tcPr>
            <w:tcW w:w="4480" w:type="dxa"/>
            <w:tcBorders>
              <w:top w:val="single" w:color="000000" w:sz="4" w:space="0"/>
              <w:left w:val="single" w:color="auto" w:sz="4" w:space="0"/>
              <w:bottom w:val="single" w:color="000000" w:sz="4" w:space="0"/>
              <w:right w:val="single" w:color="000000" w:sz="4" w:space="0"/>
            </w:tcBorders>
            <w:vAlign w:val="center"/>
          </w:tcPr>
          <w:p w14:paraId="4406CC0E">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服务期内，服务工程师每6个月进行一次全面检查及预防性维护，并提交巡检报告，缺少一次扣10分，最高扣20分。</w:t>
            </w:r>
          </w:p>
        </w:tc>
        <w:tc>
          <w:tcPr>
            <w:tcW w:w="917" w:type="dxa"/>
            <w:tcBorders>
              <w:top w:val="single" w:color="auto" w:sz="4" w:space="0"/>
              <w:left w:val="single" w:color="000000" w:sz="4" w:space="0"/>
              <w:bottom w:val="single" w:color="auto" w:sz="4" w:space="0"/>
              <w:right w:val="single" w:color="000000" w:sz="4" w:space="0"/>
            </w:tcBorders>
            <w:vAlign w:val="center"/>
          </w:tcPr>
          <w:p w14:paraId="53CF1525">
            <w:pPr>
              <w:spacing w:line="276" w:lineRule="auto"/>
              <w:jc w:val="center"/>
              <w:rPr>
                <w:rFonts w:hint="eastAsia" w:ascii="新宋体" w:hAnsi="新宋体" w:eastAsia="新宋体" w:cs="新宋体"/>
                <w:sz w:val="24"/>
                <w:szCs w:val="24"/>
              </w:rPr>
            </w:pPr>
          </w:p>
        </w:tc>
      </w:tr>
      <w:tr w14:paraId="1B19A3E5">
        <w:tblPrEx>
          <w:tblCellMar>
            <w:top w:w="0" w:type="dxa"/>
            <w:left w:w="108" w:type="dxa"/>
            <w:bottom w:w="0" w:type="dxa"/>
            <w:right w:w="108" w:type="dxa"/>
          </w:tblCellMar>
        </w:tblPrEx>
        <w:trPr>
          <w:trHeight w:val="1411" w:hRule="atLeast"/>
          <w:jc w:val="center"/>
        </w:trPr>
        <w:tc>
          <w:tcPr>
            <w:tcW w:w="969" w:type="dxa"/>
            <w:tcBorders>
              <w:top w:val="single" w:color="auto" w:sz="4" w:space="0"/>
              <w:left w:val="single" w:color="000000" w:sz="4" w:space="0"/>
              <w:bottom w:val="single" w:color="auto" w:sz="4" w:space="0"/>
              <w:right w:val="single" w:color="000000" w:sz="4" w:space="0"/>
            </w:tcBorders>
            <w:vAlign w:val="center"/>
          </w:tcPr>
          <w:p w14:paraId="627CFC49">
            <w:pPr>
              <w:pStyle w:val="11"/>
              <w:numPr>
                <w:ilvl w:val="0"/>
                <w:numId w:val="1"/>
              </w:numPr>
              <w:spacing w:line="276" w:lineRule="auto"/>
              <w:ind w:firstLineChars="0"/>
              <w:jc w:val="center"/>
              <w:rPr>
                <w:rFonts w:hint="eastAsia" w:ascii="新宋体" w:hAnsi="新宋体" w:eastAsia="新宋体" w:cs="新宋体"/>
                <w:sz w:val="24"/>
                <w:szCs w:val="24"/>
              </w:rPr>
            </w:pPr>
          </w:p>
        </w:tc>
        <w:tc>
          <w:tcPr>
            <w:tcW w:w="3334" w:type="dxa"/>
            <w:tcBorders>
              <w:top w:val="single" w:color="000000" w:sz="4" w:space="0"/>
              <w:left w:val="single" w:color="000000" w:sz="4" w:space="0"/>
              <w:bottom w:val="single" w:color="000000" w:sz="4" w:space="0"/>
              <w:right w:val="single" w:color="auto" w:sz="4" w:space="0"/>
            </w:tcBorders>
            <w:vAlign w:val="center"/>
          </w:tcPr>
          <w:p w14:paraId="6FE761F8">
            <w:pPr>
              <w:spacing w:line="276"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沟通及时性</w:t>
            </w:r>
          </w:p>
          <w:p w14:paraId="1AA6650D">
            <w:pPr>
              <w:pStyle w:val="6"/>
              <w:spacing w:line="276" w:lineRule="auto"/>
              <w:ind w:left="480"/>
              <w:rPr>
                <w:rFonts w:hint="eastAsia" w:ascii="新宋体" w:hAnsi="新宋体" w:eastAsia="新宋体" w:cs="新宋体"/>
                <w:sz w:val="24"/>
                <w:szCs w:val="24"/>
              </w:rPr>
            </w:pPr>
            <w:r>
              <w:rPr>
                <w:rFonts w:hint="eastAsia" w:ascii="新宋体" w:hAnsi="新宋体" w:eastAsia="新宋体" w:cs="新宋体"/>
                <w:sz w:val="24"/>
                <w:szCs w:val="24"/>
              </w:rPr>
              <w:t>（10分）</w:t>
            </w:r>
          </w:p>
        </w:tc>
        <w:tc>
          <w:tcPr>
            <w:tcW w:w="4480" w:type="dxa"/>
            <w:tcBorders>
              <w:top w:val="single" w:color="000000" w:sz="4" w:space="0"/>
              <w:left w:val="single" w:color="auto" w:sz="4" w:space="0"/>
              <w:bottom w:val="single" w:color="000000" w:sz="4" w:space="0"/>
              <w:right w:val="single" w:color="000000" w:sz="4" w:space="0"/>
            </w:tcBorders>
            <w:vAlign w:val="center"/>
          </w:tcPr>
          <w:p w14:paraId="7C7F643C">
            <w:pPr>
              <w:spacing w:line="276" w:lineRule="auto"/>
              <w:rPr>
                <w:rFonts w:hint="eastAsia" w:ascii="新宋体" w:hAnsi="新宋体" w:eastAsia="新宋体" w:cs="新宋体"/>
                <w:sz w:val="24"/>
                <w:szCs w:val="24"/>
              </w:rPr>
            </w:pPr>
            <w:r>
              <w:rPr>
                <w:rFonts w:hint="eastAsia" w:ascii="新宋体" w:hAnsi="新宋体" w:eastAsia="新宋体" w:cs="新宋体"/>
                <w:sz w:val="24"/>
                <w:szCs w:val="24"/>
              </w:rPr>
              <w:t>供货商对其设备进行维护时，如需中断通信，必须提前48小时通知采购人，并征得采购人同意。通知不到位一次扣2分，最高扣10分。</w:t>
            </w:r>
          </w:p>
        </w:tc>
        <w:tc>
          <w:tcPr>
            <w:tcW w:w="917" w:type="dxa"/>
            <w:tcBorders>
              <w:top w:val="single" w:color="000000" w:sz="4" w:space="0"/>
              <w:left w:val="single" w:color="000000" w:sz="4" w:space="0"/>
              <w:bottom w:val="single" w:color="auto" w:sz="4" w:space="0"/>
              <w:right w:val="single" w:color="000000" w:sz="4" w:space="0"/>
            </w:tcBorders>
            <w:vAlign w:val="center"/>
          </w:tcPr>
          <w:p w14:paraId="3E353AB2">
            <w:pPr>
              <w:spacing w:line="276" w:lineRule="auto"/>
              <w:jc w:val="center"/>
              <w:rPr>
                <w:rFonts w:hint="eastAsia" w:ascii="新宋体" w:hAnsi="新宋体" w:eastAsia="新宋体" w:cs="新宋体"/>
                <w:sz w:val="24"/>
                <w:szCs w:val="24"/>
              </w:rPr>
            </w:pPr>
          </w:p>
        </w:tc>
      </w:tr>
      <w:tr w14:paraId="2CD1F6D3">
        <w:tblPrEx>
          <w:tblCellMar>
            <w:top w:w="0" w:type="dxa"/>
            <w:left w:w="108" w:type="dxa"/>
            <w:bottom w:w="0" w:type="dxa"/>
            <w:right w:w="108" w:type="dxa"/>
          </w:tblCellMar>
        </w:tblPrEx>
        <w:trPr>
          <w:trHeight w:val="467"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14:paraId="3892D452">
            <w:pPr>
              <w:spacing w:line="360"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总分</w:t>
            </w:r>
          </w:p>
        </w:tc>
        <w:tc>
          <w:tcPr>
            <w:tcW w:w="8731" w:type="dxa"/>
            <w:gridSpan w:val="3"/>
            <w:tcBorders>
              <w:top w:val="single" w:color="000000" w:sz="4" w:space="0"/>
              <w:left w:val="single" w:color="000000" w:sz="4" w:space="0"/>
              <w:bottom w:val="single" w:color="000000" w:sz="4" w:space="0"/>
              <w:right w:val="single" w:color="000000" w:sz="4" w:space="0"/>
            </w:tcBorders>
            <w:vAlign w:val="center"/>
          </w:tcPr>
          <w:p w14:paraId="73E82B4C">
            <w:pPr>
              <w:spacing w:line="360" w:lineRule="auto"/>
              <w:jc w:val="center"/>
              <w:rPr>
                <w:rFonts w:hint="eastAsia" w:ascii="新宋体" w:hAnsi="新宋体" w:eastAsia="新宋体" w:cs="新宋体"/>
                <w:sz w:val="24"/>
                <w:szCs w:val="24"/>
              </w:rPr>
            </w:pPr>
          </w:p>
        </w:tc>
      </w:tr>
      <w:tr w14:paraId="15F055E9">
        <w:tblPrEx>
          <w:tblCellMar>
            <w:top w:w="0" w:type="dxa"/>
            <w:left w:w="108" w:type="dxa"/>
            <w:bottom w:w="0" w:type="dxa"/>
            <w:right w:w="108" w:type="dxa"/>
          </w:tblCellMar>
        </w:tblPrEx>
        <w:trPr>
          <w:trHeight w:val="1481" w:hRule="atLeast"/>
          <w:jc w:val="center"/>
        </w:trPr>
        <w:tc>
          <w:tcPr>
            <w:tcW w:w="969" w:type="dxa"/>
            <w:tcBorders>
              <w:top w:val="single" w:color="000000" w:sz="4" w:space="0"/>
              <w:left w:val="single" w:color="000000" w:sz="4" w:space="0"/>
              <w:bottom w:val="single" w:color="000000" w:sz="4" w:space="0"/>
              <w:right w:val="single" w:color="000000" w:sz="4" w:space="0"/>
            </w:tcBorders>
            <w:vAlign w:val="center"/>
          </w:tcPr>
          <w:p w14:paraId="0DF6CC01">
            <w:pPr>
              <w:spacing w:line="360" w:lineRule="auto"/>
              <w:jc w:val="center"/>
              <w:rPr>
                <w:rFonts w:hint="eastAsia" w:ascii="新宋体" w:hAnsi="新宋体" w:eastAsia="新宋体" w:cs="新宋体"/>
                <w:sz w:val="24"/>
                <w:szCs w:val="24"/>
              </w:rPr>
            </w:pPr>
            <w:r>
              <w:rPr>
                <w:rFonts w:hint="eastAsia" w:ascii="新宋体" w:hAnsi="新宋体" w:eastAsia="新宋体" w:cs="新宋体"/>
                <w:sz w:val="24"/>
                <w:szCs w:val="24"/>
              </w:rPr>
              <w:t>备注</w:t>
            </w:r>
          </w:p>
        </w:tc>
        <w:tc>
          <w:tcPr>
            <w:tcW w:w="8731" w:type="dxa"/>
            <w:gridSpan w:val="3"/>
            <w:tcBorders>
              <w:top w:val="single" w:color="000000" w:sz="4" w:space="0"/>
              <w:left w:val="single" w:color="000000" w:sz="4" w:space="0"/>
              <w:bottom w:val="single" w:color="000000" w:sz="4" w:space="0"/>
              <w:right w:val="single" w:color="000000" w:sz="4" w:space="0"/>
            </w:tcBorders>
            <w:vAlign w:val="center"/>
          </w:tcPr>
          <w:p w14:paraId="57AFFFAC">
            <w:pPr>
              <w:spacing w:line="360" w:lineRule="auto"/>
              <w:rPr>
                <w:rFonts w:hint="eastAsia" w:ascii="新宋体" w:hAnsi="新宋体" w:eastAsia="新宋体" w:cs="新宋体"/>
                <w:sz w:val="24"/>
                <w:szCs w:val="24"/>
              </w:rPr>
            </w:pPr>
            <w:r>
              <w:rPr>
                <w:rFonts w:hint="eastAsia" w:ascii="新宋体" w:hAnsi="新宋体" w:eastAsia="新宋体" w:cs="新宋体"/>
                <w:sz w:val="24"/>
                <w:szCs w:val="24"/>
              </w:rPr>
              <w:t>年度考核得分小于60分，不能续签合同。</w:t>
            </w:r>
          </w:p>
        </w:tc>
      </w:tr>
    </w:tbl>
    <w:p w14:paraId="4B0A0AA0">
      <w:pPr>
        <w:widowControl/>
        <w:spacing w:line="360" w:lineRule="auto"/>
        <w:jc w:val="left"/>
        <w:rPr>
          <w:rFonts w:hint="eastAsia" w:ascii="宋体" w:hAnsi="宋体" w:eastAsia="宋体" w:cs="Times New Roman"/>
          <w:kern w:val="0"/>
          <w:sz w:val="24"/>
          <w:szCs w:val="24"/>
          <w:lang w:val="en-US" w:eastAsia="zh-CN"/>
        </w:rPr>
      </w:pPr>
    </w:p>
    <w:p w14:paraId="61D6AD73">
      <w:pPr>
        <w:widowControl/>
        <w:spacing w:line="360" w:lineRule="auto"/>
        <w:jc w:val="left"/>
        <w:rPr>
          <w:rFonts w:hint="eastAsia" w:ascii="宋体" w:hAnsi="宋体" w:eastAsia="宋体" w:cs="Times New Roman"/>
          <w:kern w:val="0"/>
          <w:sz w:val="24"/>
          <w:szCs w:val="24"/>
          <w:lang w:eastAsia="zh-Hans"/>
        </w:rPr>
      </w:pPr>
    </w:p>
    <w:p w14:paraId="509B0040">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872652"/>
    <w:multiLevelType w:val="multilevel"/>
    <w:tmpl w:val="2E87265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3A"/>
    <w:rsid w:val="000149CA"/>
    <w:rsid w:val="0008657F"/>
    <w:rsid w:val="00202CA3"/>
    <w:rsid w:val="005A42FB"/>
    <w:rsid w:val="0064013A"/>
    <w:rsid w:val="00974043"/>
    <w:rsid w:val="00A33AEF"/>
    <w:rsid w:val="00B80576"/>
    <w:rsid w:val="00BA153F"/>
    <w:rsid w:val="00BD5BDD"/>
    <w:rsid w:val="00C17332"/>
    <w:rsid w:val="00CF1F4E"/>
    <w:rsid w:val="00E20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jc w:val="left"/>
      <w:outlineLvl w:val="3"/>
    </w:pPr>
    <w:rPr>
      <w:rFonts w:hint="eastAsia" w:ascii="Arial" w:hAnsi="Arial"/>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tabs>
        <w:tab w:val="center" w:pos="4153"/>
        <w:tab w:val="right" w:pos="8306"/>
      </w:tabs>
      <w:snapToGrid w:val="0"/>
      <w:jc w:val="center"/>
    </w:pPr>
    <w:rPr>
      <w:sz w:val="18"/>
      <w:szCs w:val="18"/>
    </w:rPr>
  </w:style>
  <w:style w:type="paragraph" w:styleId="6">
    <w:name w:val="Body Text First Indent 2"/>
    <w:basedOn w:val="3"/>
    <w:unhideWhenUsed/>
    <w:qFormat/>
    <w:uiPriority w:val="99"/>
    <w:pPr>
      <w:ind w:firstLine="420" w:firstLineChars="200"/>
    </w:pPr>
    <w:rPr>
      <w:rFonts w:ascii="Times New Roman"/>
      <w:kern w:val="2"/>
      <w:sz w:val="21"/>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99"/>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2241</Words>
  <Characters>2254</Characters>
  <Lines>18</Lines>
  <Paragraphs>5</Paragraphs>
  <TotalTime>1</TotalTime>
  <ScaleCrop>false</ScaleCrop>
  <LinksUpToDate>false</LinksUpToDate>
  <CharactersWithSpaces>2572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2024-07-29T02:19:00Z</dcterms:created>
  <dc:creator>瑶 柯</dc:creator>
  <cp:lastModifiedBy>芹泽。</cp:lastModifiedBy>
  <dcterms:modified xsi:type="dcterms:W3CDTF">2025-07-01T08:58:45Z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eyJoZGlkIjoiMDYzMjJmM2NhYzM2NWU2NzVhNzAxODQwMmFhOTdhNTgiLCJ1c2VySWQiOiIzNTc4MjExMjUifQ==</vt:lpwstr>
  </property>
  <property fmtid="{D5CDD505-2E9C-101B-9397-08002B2CF9AE}" pid="3" name="KSOProductBuildVer">
    <vt:lpwstr>2052-12.1.0.21541</vt:lpwstr>
  </property>
  <property fmtid="{D5CDD505-2E9C-101B-9397-08002B2CF9AE}" pid="4" name="ICV">
    <vt:lpwstr>16D557A624C943EF980183EA05045A08_12</vt:lpwstr>
  </property>
</Properties>
</file>