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39E2B">
      <w:pPr>
        <w:spacing w:line="360" w:lineRule="auto"/>
        <w:jc w:val="center"/>
        <w:outlineLvl w:val="0"/>
        <w:rPr>
          <w:rFonts w:hint="eastAsia" w:ascii="仿宋" w:hAnsi="仿宋" w:eastAsia="仿宋" w:cs="仿宋"/>
          <w:sz w:val="32"/>
          <w:szCs w:val="32"/>
          <w:highlight w:val="none"/>
        </w:rPr>
      </w:pPr>
      <w:r>
        <w:rPr>
          <w:rStyle w:val="7"/>
          <w:rFonts w:hint="eastAsia" w:ascii="仿宋" w:hAnsi="仿宋" w:eastAsia="仿宋" w:cs="仿宋"/>
          <w:szCs w:val="32"/>
          <w:highlight w:val="none"/>
        </w:rPr>
        <w:t>拟签订的合同</w:t>
      </w:r>
      <w:bookmarkStart w:id="0" w:name="_Hlt487972895"/>
      <w:bookmarkEnd w:id="0"/>
      <w:bookmarkStart w:id="1" w:name="_Toc216513788"/>
      <w:bookmarkStart w:id="2" w:name="_Toc487900382"/>
      <w:r>
        <w:rPr>
          <w:rStyle w:val="7"/>
          <w:rFonts w:hint="eastAsia" w:ascii="仿宋" w:hAnsi="仿宋" w:eastAsia="仿宋" w:cs="仿宋"/>
          <w:szCs w:val="32"/>
          <w:highlight w:val="none"/>
        </w:rPr>
        <w:t>文本</w:t>
      </w:r>
    </w:p>
    <w:bookmarkEnd w:id="1"/>
    <w:bookmarkEnd w:id="2"/>
    <w:p w14:paraId="0BA85FDF">
      <w:pPr>
        <w:tabs>
          <w:tab w:val="left" w:pos="735"/>
        </w:tabs>
        <w:autoSpaceDE w:val="0"/>
        <w:autoSpaceDN w:val="0"/>
        <w:adjustRightInd w:val="0"/>
        <w:snapToGrid w:val="0"/>
        <w:spacing w:before="312" w:beforeLines="100" w:line="360" w:lineRule="auto"/>
        <w:rPr>
          <w:rFonts w:hint="eastAsia" w:ascii="仿宋" w:hAnsi="仿宋" w:eastAsia="仿宋" w:cs="仿宋"/>
          <w:b/>
          <w:bCs/>
          <w:sz w:val="24"/>
          <w:lang w:val="zh-CN"/>
        </w:rPr>
      </w:pPr>
      <w:r>
        <w:rPr>
          <w:rFonts w:hint="eastAsia" w:ascii="仿宋" w:hAnsi="仿宋" w:eastAsia="仿宋" w:cs="仿宋"/>
          <w:b/>
          <w:bCs/>
          <w:sz w:val="24"/>
          <w:lang w:val="zh-CN"/>
        </w:rPr>
        <w:t>甲方：</w:t>
      </w:r>
      <w:r>
        <w:rPr>
          <w:rFonts w:hint="eastAsia" w:ascii="仿宋" w:hAnsi="仿宋" w:eastAsia="仿宋" w:cs="仿宋"/>
          <w:bCs/>
          <w:sz w:val="24"/>
          <w:lang w:val="zh-CN"/>
        </w:rPr>
        <w:t>（前款所称采购人）     住所：</w:t>
      </w:r>
    </w:p>
    <w:p w14:paraId="480B428A">
      <w:pPr>
        <w:tabs>
          <w:tab w:val="left" w:pos="735"/>
        </w:tabs>
        <w:autoSpaceDE w:val="0"/>
        <w:autoSpaceDN w:val="0"/>
        <w:adjustRightInd w:val="0"/>
        <w:snapToGrid w:val="0"/>
        <w:spacing w:line="360" w:lineRule="auto"/>
        <w:rPr>
          <w:rFonts w:hint="eastAsia" w:ascii="仿宋" w:hAnsi="仿宋" w:eastAsia="仿宋" w:cs="仿宋"/>
          <w:bCs/>
          <w:sz w:val="24"/>
          <w:lang w:val="zh-CN"/>
        </w:rPr>
      </w:pPr>
      <w:r>
        <w:rPr>
          <w:rFonts w:hint="eastAsia" w:ascii="仿宋" w:hAnsi="仿宋" w:eastAsia="仿宋" w:cs="仿宋"/>
          <w:b/>
          <w:bCs/>
          <w:sz w:val="24"/>
          <w:lang w:val="zh-CN"/>
        </w:rPr>
        <w:t>乙方：</w:t>
      </w:r>
      <w:r>
        <w:rPr>
          <w:rFonts w:hint="eastAsia" w:ascii="仿宋" w:hAnsi="仿宋" w:eastAsia="仿宋" w:cs="仿宋"/>
          <w:bCs/>
          <w:sz w:val="24"/>
          <w:lang w:val="zh-CN"/>
        </w:rPr>
        <w:t>（前款所称中标人）     住所：</w:t>
      </w:r>
    </w:p>
    <w:p w14:paraId="4B6BB4AD">
      <w:pPr>
        <w:pStyle w:val="4"/>
        <w:rPr>
          <w:rFonts w:hint="eastAsia" w:ascii="仿宋" w:hAnsi="仿宋" w:eastAsia="仿宋" w:cs="仿宋"/>
          <w:lang w:val="zh-CN"/>
        </w:rPr>
      </w:pPr>
    </w:p>
    <w:p w14:paraId="3CE784E1">
      <w:pPr>
        <w:numPr>
          <w:ilvl w:val="0"/>
          <w:numId w:val="1"/>
        </w:numPr>
        <w:adjustRightInd w:val="0"/>
        <w:snapToGrid w:val="0"/>
        <w:spacing w:line="360" w:lineRule="auto"/>
        <w:ind w:firstLine="480" w:firstLineChars="200"/>
        <w:rPr>
          <w:rFonts w:hint="eastAsia" w:ascii="仿宋" w:hAnsi="仿宋" w:eastAsia="仿宋" w:cs="仿宋"/>
          <w:sz w:val="24"/>
        </w:rPr>
      </w:pPr>
      <w:bookmarkStart w:id="3" w:name="_Toc19515384"/>
      <w:r>
        <w:rPr>
          <w:rFonts w:hint="eastAsia" w:ascii="仿宋" w:hAnsi="仿宋" w:eastAsia="仿宋" w:cs="仿宋"/>
          <w:sz w:val="24"/>
        </w:rPr>
        <w:t>合同内容（标的、数量、质量等）:</w:t>
      </w:r>
      <w:bookmarkEnd w:id="3"/>
    </w:p>
    <w:p w14:paraId="1064546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1.内容：steam科创馆建设</w:t>
      </w:r>
    </w:p>
    <w:p w14:paraId="1EE36EE3">
      <w:pPr>
        <w:adjustRightInd w:val="0"/>
        <w:snapToGrid w:val="0"/>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rPr>
        <w:t>2.数量：</w:t>
      </w:r>
      <w:r>
        <w:rPr>
          <w:rFonts w:hint="eastAsia" w:ascii="仿宋" w:hAnsi="仿宋" w:eastAsia="仿宋" w:cs="仿宋"/>
          <w:sz w:val="24"/>
          <w:highlight w:val="none"/>
          <w:lang w:val="en-US" w:eastAsia="zh-CN"/>
        </w:rPr>
        <w:t>详见采购清单。</w:t>
      </w:r>
    </w:p>
    <w:p w14:paraId="0812A61A">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3.质量：</w:t>
      </w:r>
    </w:p>
    <w:p w14:paraId="4CF2B9D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3.1所有装修材料需提供环保证明材料，达到环保标准，施工完成后由施工方联系专业公司除甲醛一次，提供室内有害气体检测合格报告。</w:t>
      </w:r>
    </w:p>
    <w:p w14:paraId="781C660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3.2教室内预留监控设备预埋线路，可扩展安装监控设备。</w:t>
      </w:r>
    </w:p>
    <w:p w14:paraId="59FC3BD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3.3所有强电线路要求暗装，从配电箱直接分线，主线走吊顶上方，沿墙面开槽走线，报价含走线开槽及恢复墙面的费用。</w:t>
      </w:r>
    </w:p>
    <w:p w14:paraId="2CDD60BA">
      <w:pPr>
        <w:adjustRightInd w:val="0"/>
        <w:snapToGrid w:val="0"/>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lang w:val="en-US" w:eastAsia="zh-CN"/>
        </w:rPr>
        <w:t>3.4施工所用材料均为国标产品，电线线径不得低于2.5平方，网线采用超六类线及水晶头。</w:t>
      </w:r>
    </w:p>
    <w:p w14:paraId="589A4782">
      <w:pPr>
        <w:adjustRightInd w:val="0"/>
        <w:snapToGrid w:val="0"/>
        <w:spacing w:line="360" w:lineRule="auto"/>
        <w:ind w:firstLine="480" w:firstLineChars="200"/>
        <w:rPr>
          <w:rFonts w:hint="eastAsia" w:ascii="仿宋" w:hAnsi="仿宋" w:eastAsia="仿宋" w:cs="仿宋"/>
          <w:sz w:val="24"/>
        </w:rPr>
      </w:pPr>
      <w:bookmarkStart w:id="4" w:name="_Toc19515385"/>
      <w:r>
        <w:rPr>
          <w:rFonts w:hint="eastAsia" w:ascii="仿宋" w:hAnsi="仿宋" w:eastAsia="仿宋" w:cs="仿宋"/>
          <w:sz w:val="24"/>
        </w:rPr>
        <w:t>二、合同价款</w:t>
      </w:r>
      <w:bookmarkEnd w:id="4"/>
    </w:p>
    <w:p w14:paraId="4A59CFFB">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1、合同总价：本</w:t>
      </w:r>
      <w:r>
        <w:rPr>
          <w:rFonts w:hint="eastAsia" w:ascii="仿宋" w:hAnsi="仿宋" w:eastAsia="仿宋" w:cs="仿宋"/>
          <w:sz w:val="24"/>
          <w:lang w:val="en-US" w:eastAsia="zh-CN"/>
        </w:rPr>
        <w:t>合同款项金额</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万元</w:t>
      </w:r>
    </w:p>
    <w:p w14:paraId="219E440A">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2、合同总价包括：货物费、运杂费、配送费、税费等为完成本项目所需的一切费用。</w:t>
      </w:r>
    </w:p>
    <w:p w14:paraId="3F155CA4">
      <w:pPr>
        <w:adjustRightInd w:val="0"/>
        <w:snapToGrid w:val="0"/>
        <w:spacing w:line="360" w:lineRule="auto"/>
        <w:ind w:firstLine="480" w:firstLineChars="200"/>
        <w:rPr>
          <w:rFonts w:hint="eastAsia"/>
        </w:rPr>
      </w:pPr>
      <w:r>
        <w:rPr>
          <w:rFonts w:hint="eastAsia" w:ascii="仿宋" w:hAnsi="仿宋" w:eastAsia="仿宋" w:cs="仿宋"/>
          <w:sz w:val="24"/>
          <w:lang w:val="en-US" w:eastAsia="zh-CN"/>
        </w:rPr>
        <w:t>3、本合同为总价包死合同。</w:t>
      </w:r>
    </w:p>
    <w:p w14:paraId="6B8B457F">
      <w:pPr>
        <w:adjustRightInd w:val="0"/>
        <w:snapToGrid w:val="0"/>
        <w:spacing w:line="360" w:lineRule="auto"/>
        <w:ind w:firstLine="480" w:firstLineChars="200"/>
        <w:rPr>
          <w:rFonts w:hint="eastAsia" w:ascii="仿宋" w:hAnsi="仿宋" w:eastAsia="仿宋" w:cs="仿宋"/>
          <w:sz w:val="24"/>
        </w:rPr>
      </w:pPr>
      <w:bookmarkStart w:id="5" w:name="_Toc19515386"/>
      <w:r>
        <w:rPr>
          <w:rFonts w:hint="eastAsia" w:ascii="仿宋" w:hAnsi="仿宋" w:eastAsia="仿宋" w:cs="仿宋"/>
          <w:sz w:val="24"/>
        </w:rPr>
        <w:t>三、合同结算</w:t>
      </w:r>
      <w:bookmarkEnd w:id="5"/>
    </w:p>
    <w:p w14:paraId="51271C25">
      <w:pPr>
        <w:adjustRightInd w:val="0"/>
        <w:snapToGrid w:val="0"/>
        <w:spacing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rPr>
        <w:t>1、付款比例</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合同签订后30日历天内预付合同金额的40%，项目安装调试验收合格后30日历天内付合同金额的60%。</w:t>
      </w:r>
      <w:bookmarkStart w:id="9" w:name="_GoBack"/>
      <w:bookmarkEnd w:id="9"/>
    </w:p>
    <w:p w14:paraId="0BCC6B5A">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2、结算方式：银行转账。供货方向采购方提供按实际付款额开具的国家正式税务发票。</w:t>
      </w:r>
      <w:bookmarkStart w:id="6" w:name="_Toc19515393"/>
    </w:p>
    <w:p w14:paraId="63499F27">
      <w:pPr>
        <w:adjustRightInd w:val="0"/>
        <w:snapToGrid w:val="0"/>
        <w:spacing w:line="360" w:lineRule="auto"/>
        <w:ind w:firstLine="480" w:firstLineChars="200"/>
        <w:rPr>
          <w:rFonts w:eastAsia="仿宋_GB2312"/>
          <w:sz w:val="24"/>
        </w:rPr>
      </w:pPr>
      <w:r>
        <w:rPr>
          <w:rFonts w:hint="eastAsia" w:eastAsia="仿宋_GB2312"/>
          <w:sz w:val="24"/>
          <w:lang w:val="en-US" w:eastAsia="zh-CN"/>
        </w:rPr>
        <w:t>四、</w:t>
      </w:r>
      <w:r>
        <w:rPr>
          <w:rFonts w:eastAsia="仿宋_GB2312"/>
          <w:sz w:val="24"/>
        </w:rPr>
        <w:t>售后服务</w:t>
      </w:r>
    </w:p>
    <w:p w14:paraId="569D6941">
      <w:pPr>
        <w:adjustRightInd w:val="0"/>
        <w:snapToGrid w:val="0"/>
        <w:spacing w:line="360" w:lineRule="auto"/>
        <w:ind w:firstLine="480" w:firstLineChars="200"/>
        <w:rPr>
          <w:rFonts w:eastAsia="仿宋_GB2312"/>
          <w:sz w:val="24"/>
        </w:rPr>
      </w:pPr>
      <w:r>
        <w:rPr>
          <w:rFonts w:hint="eastAsia" w:eastAsia="仿宋_GB2312"/>
          <w:sz w:val="24"/>
          <w:lang w:val="en-US" w:eastAsia="zh-CN"/>
        </w:rPr>
        <w:t>1、</w:t>
      </w:r>
      <w:r>
        <w:rPr>
          <w:rFonts w:eastAsia="仿宋_GB2312"/>
          <w:sz w:val="24"/>
        </w:rPr>
        <w:t>乙方在接到甲方电话通知后在</w:t>
      </w:r>
      <w:r>
        <w:rPr>
          <w:rFonts w:eastAsia="仿宋_GB2312"/>
          <w:sz w:val="24"/>
          <w:u w:val="single"/>
        </w:rPr>
        <w:t xml:space="preserve">   </w:t>
      </w:r>
      <w:r>
        <w:rPr>
          <w:rFonts w:eastAsia="仿宋_GB2312"/>
          <w:sz w:val="24"/>
        </w:rPr>
        <w:t>小时内派出合格的服务人员到达现场进行服务，承担相应费用。</w:t>
      </w:r>
    </w:p>
    <w:p w14:paraId="086226EB">
      <w:pPr>
        <w:adjustRightInd w:val="0"/>
        <w:snapToGrid w:val="0"/>
        <w:spacing w:line="360" w:lineRule="auto"/>
        <w:ind w:firstLine="480" w:firstLineChars="200"/>
        <w:rPr>
          <w:rFonts w:eastAsia="仿宋_GB2312"/>
          <w:sz w:val="24"/>
        </w:rPr>
      </w:pPr>
      <w:r>
        <w:rPr>
          <w:rFonts w:eastAsia="仿宋_GB2312"/>
          <w:sz w:val="24"/>
        </w:rPr>
        <w:t>2、如果乙方在收到通知后两天内没有弥补缺陷，甲方可采取必要的补救措施，但其风险和费用将由乙方承担，甲方根据合同规定对乙方行使的其它权力不受影响。</w:t>
      </w:r>
    </w:p>
    <w:p w14:paraId="7DF7F0CF">
      <w:pPr>
        <w:adjustRightInd w:val="0"/>
        <w:snapToGrid w:val="0"/>
        <w:spacing w:line="360" w:lineRule="auto"/>
        <w:ind w:firstLine="480" w:firstLineChars="200"/>
        <w:rPr>
          <w:rFonts w:hint="default" w:eastAsia="仿宋_GB2312"/>
          <w:sz w:val="24"/>
          <w:lang w:val="en-US" w:eastAsia="zh-CN"/>
        </w:rPr>
      </w:pPr>
      <w:r>
        <w:rPr>
          <w:rFonts w:hint="eastAsia" w:eastAsia="仿宋_GB2312"/>
          <w:sz w:val="24"/>
          <w:lang w:val="en-US" w:eastAsia="zh-CN"/>
        </w:rPr>
        <w:t>3、其他乙方响应的售后方案。</w:t>
      </w:r>
    </w:p>
    <w:p w14:paraId="21D8D26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五、交货</w:t>
      </w:r>
    </w:p>
    <w:p w14:paraId="19F5481B">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交货</w:t>
      </w:r>
      <w:r>
        <w:rPr>
          <w:rFonts w:hint="eastAsia" w:ascii="仿宋" w:hAnsi="仿宋" w:eastAsia="仿宋" w:cs="仿宋"/>
          <w:sz w:val="24"/>
        </w:rPr>
        <w:t>周期：</w:t>
      </w:r>
    </w:p>
    <w:p w14:paraId="70DC91B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、交货地点：采购方指定地点。</w:t>
      </w:r>
    </w:p>
    <w:p w14:paraId="19A1DCBB">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六、检验与验收</w:t>
      </w:r>
    </w:p>
    <w:p w14:paraId="74FC1F47">
      <w:pPr>
        <w:adjustRightInd w:val="0"/>
        <w:snapToGrid w:val="0"/>
        <w:spacing w:line="360" w:lineRule="auto"/>
        <w:ind w:firstLine="480" w:firstLineChars="200"/>
        <w:rPr>
          <w:rFonts w:eastAsia="仿宋_GB2312"/>
          <w:sz w:val="24"/>
        </w:rPr>
      </w:pPr>
      <w:r>
        <w:rPr>
          <w:rFonts w:eastAsia="仿宋_GB2312"/>
          <w:sz w:val="24"/>
        </w:rPr>
        <w:t>1、验收：乙方完成</w:t>
      </w:r>
      <w:r>
        <w:rPr>
          <w:rFonts w:hint="eastAsia" w:eastAsia="仿宋_GB2312"/>
          <w:sz w:val="24"/>
          <w:lang w:val="en-US" w:eastAsia="zh-CN"/>
        </w:rPr>
        <w:t>供货</w:t>
      </w:r>
      <w:r>
        <w:rPr>
          <w:rFonts w:eastAsia="仿宋_GB2312"/>
          <w:sz w:val="24"/>
        </w:rPr>
        <w:t>内容后，向甲方提出验收申请，甲方接到乙方验收申请后组织验收（必要时可聘请相应专家或委托相应部门验收），验收合格后，出具使用验收合格证明。</w:t>
      </w:r>
    </w:p>
    <w:p w14:paraId="502D97B9">
      <w:pPr>
        <w:adjustRightInd w:val="0"/>
        <w:snapToGrid w:val="0"/>
        <w:spacing w:line="360" w:lineRule="auto"/>
        <w:ind w:firstLine="480" w:firstLineChars="200"/>
        <w:rPr>
          <w:rFonts w:eastAsia="仿宋_GB2312"/>
          <w:sz w:val="24"/>
        </w:rPr>
      </w:pPr>
      <w:r>
        <w:rPr>
          <w:rFonts w:hint="eastAsia" w:eastAsia="仿宋_GB2312"/>
          <w:sz w:val="24"/>
        </w:rPr>
        <w:t>2</w:t>
      </w:r>
      <w:r>
        <w:rPr>
          <w:rFonts w:eastAsia="仿宋_GB2312"/>
          <w:sz w:val="24"/>
        </w:rPr>
        <w:t>、最终验收：最终验收结果作为付款依据，乙方填写验收单，并向甲方提交实施过程中的所有资料，以便甲方日后管理和维护。</w:t>
      </w:r>
    </w:p>
    <w:p w14:paraId="2D2D832A">
      <w:pPr>
        <w:adjustRightInd w:val="0"/>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、质保期满后：由乙方出具质保期运行质量报告，若存在质量问题，应按相应规定协商处理。</w:t>
      </w:r>
    </w:p>
    <w:p w14:paraId="49FEB53A">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4、验收依据：</w:t>
      </w:r>
    </w:p>
    <w:p w14:paraId="710189EE">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4-1、合同文本、合同附件、招标文件、投标文件。</w:t>
      </w:r>
    </w:p>
    <w:p w14:paraId="3A7C367E">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4-2、国</w:t>
      </w:r>
      <w:r>
        <w:rPr>
          <w:rFonts w:eastAsia="仿宋_GB2312"/>
          <w:sz w:val="24"/>
        </w:rPr>
        <w:t>内相应的标准、规范。</w:t>
      </w:r>
    </w:p>
    <w:p w14:paraId="06D53B5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3招标文件；</w:t>
      </w:r>
    </w:p>
    <w:p w14:paraId="2242683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4乙方投标文件及服务承诺。</w:t>
      </w:r>
    </w:p>
    <w:p w14:paraId="15BE4AE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七</w:t>
      </w:r>
      <w:r>
        <w:rPr>
          <w:rFonts w:hint="eastAsia" w:ascii="仿宋" w:hAnsi="仿宋" w:eastAsia="仿宋" w:cs="仿宋"/>
          <w:sz w:val="24"/>
        </w:rPr>
        <w:t>、违约责任</w:t>
      </w:r>
    </w:p>
    <w:p w14:paraId="1F07FE12">
      <w:pPr>
        <w:adjustRightInd w:val="0"/>
        <w:snapToGrid w:val="0"/>
        <w:spacing w:line="360" w:lineRule="auto"/>
        <w:ind w:firstLine="480" w:firstLineChars="200"/>
        <w:rPr>
          <w:rFonts w:eastAsia="仿宋_GB2312"/>
          <w:sz w:val="24"/>
        </w:rPr>
      </w:pPr>
      <w:r>
        <w:rPr>
          <w:rFonts w:eastAsia="仿宋_GB2312"/>
          <w:sz w:val="24"/>
        </w:rPr>
        <w:t>1、按《中华人民共和国民法典》中的相关条款执行。</w:t>
      </w:r>
    </w:p>
    <w:p w14:paraId="1E156355">
      <w:pPr>
        <w:adjustRightInd w:val="0"/>
        <w:snapToGrid w:val="0"/>
        <w:spacing w:line="360" w:lineRule="auto"/>
        <w:ind w:firstLine="480" w:firstLineChars="200"/>
        <w:rPr>
          <w:rFonts w:eastAsia="仿宋_GB2312"/>
          <w:sz w:val="24"/>
        </w:rPr>
      </w:pPr>
      <w:r>
        <w:rPr>
          <w:rFonts w:eastAsia="仿宋_GB2312"/>
          <w:sz w:val="24"/>
        </w:rPr>
        <w:t>2、乙方履约延误</w:t>
      </w:r>
    </w:p>
    <w:p w14:paraId="72566FCD">
      <w:pPr>
        <w:adjustRightInd w:val="0"/>
        <w:snapToGrid w:val="0"/>
        <w:spacing w:line="360" w:lineRule="auto"/>
        <w:ind w:firstLine="480" w:firstLineChars="200"/>
        <w:rPr>
          <w:rFonts w:eastAsia="仿宋_GB2312"/>
          <w:sz w:val="24"/>
        </w:rPr>
      </w:pPr>
      <w:r>
        <w:rPr>
          <w:rFonts w:eastAsia="仿宋_GB2312"/>
          <w:sz w:val="24"/>
        </w:rPr>
        <w:t>2-1、如乙方事先未征得甲方同意并得到甲方的谅解而单方面延迟执行合同，将按违约终止合同。</w:t>
      </w:r>
    </w:p>
    <w:p w14:paraId="73F106DC">
      <w:pPr>
        <w:adjustRightInd w:val="0"/>
        <w:snapToGrid w:val="0"/>
        <w:spacing w:line="360" w:lineRule="auto"/>
        <w:ind w:firstLine="480" w:firstLineChars="200"/>
        <w:rPr>
          <w:rFonts w:eastAsia="仿宋_GB2312"/>
          <w:sz w:val="24"/>
        </w:rPr>
      </w:pPr>
      <w:r>
        <w:rPr>
          <w:rFonts w:eastAsia="仿宋_GB2312"/>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w:t>
      </w:r>
      <w:r>
        <w:rPr>
          <w:rFonts w:hint="eastAsia" w:eastAsia="仿宋_GB2312"/>
          <w:sz w:val="24"/>
          <w:lang w:val="en-US" w:eastAsia="zh-CN"/>
        </w:rPr>
        <w:t>三</w:t>
      </w:r>
      <w:r>
        <w:rPr>
          <w:rFonts w:eastAsia="仿宋_GB2312"/>
          <w:sz w:val="24"/>
        </w:rPr>
        <w:t>（</w:t>
      </w:r>
      <w:r>
        <w:rPr>
          <w:rFonts w:hint="eastAsia" w:eastAsia="仿宋_GB2312"/>
          <w:sz w:val="24"/>
          <w:lang w:val="en-US" w:eastAsia="zh-CN"/>
        </w:rPr>
        <w:t>3</w:t>
      </w:r>
      <w:r>
        <w:rPr>
          <w:rFonts w:eastAsia="仿宋_GB2312"/>
          <w:sz w:val="24"/>
        </w:rPr>
        <w:t>%）计收，直至提供服务为止。误期赔偿费的最高限额为合同价格的百分之</w:t>
      </w:r>
      <w:r>
        <w:rPr>
          <w:rFonts w:hint="eastAsia" w:eastAsia="仿宋_GB2312"/>
          <w:sz w:val="24"/>
          <w:lang w:val="en-US" w:eastAsia="zh-CN"/>
        </w:rPr>
        <w:t>三十</w:t>
      </w:r>
      <w:r>
        <w:rPr>
          <w:rFonts w:eastAsia="仿宋_GB2312"/>
          <w:sz w:val="24"/>
        </w:rPr>
        <w:t>（</w:t>
      </w:r>
      <w:r>
        <w:rPr>
          <w:rFonts w:hint="eastAsia" w:eastAsia="仿宋_GB2312"/>
          <w:sz w:val="24"/>
          <w:lang w:val="en-US" w:eastAsia="zh-CN"/>
        </w:rPr>
        <w:t>30</w:t>
      </w:r>
      <w:r>
        <w:rPr>
          <w:rFonts w:eastAsia="仿宋_GB2312"/>
          <w:sz w:val="24"/>
        </w:rPr>
        <w:t>%）。一旦达到误期赔偿费的最高限额，甲方可终止合同。</w:t>
      </w:r>
    </w:p>
    <w:p w14:paraId="082BEF02">
      <w:pPr>
        <w:adjustRightInd w:val="0"/>
        <w:snapToGrid w:val="0"/>
        <w:spacing w:line="360" w:lineRule="auto"/>
        <w:ind w:firstLine="480" w:firstLineChars="200"/>
        <w:rPr>
          <w:rFonts w:eastAsia="仿宋_GB2312"/>
          <w:sz w:val="24"/>
        </w:rPr>
      </w:pPr>
      <w:r>
        <w:rPr>
          <w:rFonts w:eastAsia="仿宋_GB2312"/>
          <w:sz w:val="24"/>
        </w:rPr>
        <w:t>3、违约终止合同：未按合同要求提供服务或不能满足技术要求，甲方会同监督机构有权终止合同，对乙方违约行为进行追究，同时按政府采购法的有关规定进行相应的处罚。</w:t>
      </w:r>
    </w:p>
    <w:p w14:paraId="0B98D70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八</w:t>
      </w:r>
      <w:r>
        <w:rPr>
          <w:rFonts w:hint="eastAsia" w:ascii="仿宋" w:hAnsi="仿宋" w:eastAsia="仿宋" w:cs="仿宋"/>
          <w:sz w:val="24"/>
        </w:rPr>
        <w:t>、合同组成</w:t>
      </w:r>
      <w:bookmarkEnd w:id="6"/>
    </w:p>
    <w:p w14:paraId="20A7A2B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1、中标通知书</w:t>
      </w:r>
    </w:p>
    <w:p w14:paraId="7FD1B3E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2、合同文件</w:t>
      </w:r>
    </w:p>
    <w:p w14:paraId="50A8EB4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3、国家相关规范及标准</w:t>
      </w:r>
    </w:p>
    <w:p w14:paraId="7F4D4E5A">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4、招标文件</w:t>
      </w:r>
    </w:p>
    <w:p w14:paraId="669B8B6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5、投标文件</w:t>
      </w:r>
    </w:p>
    <w:p w14:paraId="1BC78BFB">
      <w:pPr>
        <w:adjustRightInd w:val="0"/>
        <w:snapToGrid w:val="0"/>
        <w:spacing w:line="360" w:lineRule="auto"/>
        <w:ind w:firstLine="480" w:firstLineChars="200"/>
        <w:rPr>
          <w:rFonts w:hint="eastAsia" w:ascii="仿宋" w:hAnsi="仿宋" w:eastAsia="仿宋" w:cs="仿宋"/>
          <w:sz w:val="24"/>
        </w:rPr>
      </w:pPr>
      <w:bookmarkStart w:id="7" w:name="_Toc19515394"/>
      <w:r>
        <w:rPr>
          <w:rFonts w:hint="eastAsia" w:ascii="仿宋" w:hAnsi="仿宋" w:eastAsia="仿宋" w:cs="仿宋"/>
          <w:sz w:val="24"/>
          <w:lang w:val="en-US" w:eastAsia="zh-CN"/>
        </w:rPr>
        <w:t>九</w:t>
      </w:r>
      <w:r>
        <w:rPr>
          <w:rFonts w:hint="eastAsia" w:ascii="仿宋" w:hAnsi="仿宋" w:eastAsia="仿宋" w:cs="仿宋"/>
          <w:sz w:val="24"/>
        </w:rPr>
        <w:t>、解决争议的方法</w:t>
      </w:r>
      <w:bookmarkEnd w:id="7"/>
    </w:p>
    <w:p w14:paraId="5FBE2F50">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凡因本合同引起的或与本合同有关的争议，双方应友好协商解决。协商不成时，双方均同意采用以下第（  ）种争议解决方式：</w:t>
      </w:r>
    </w:p>
    <w:p w14:paraId="445CC73F">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1、甲、乙双方均同意向（甲方所在地人民法院）提起诉讼。</w:t>
      </w:r>
    </w:p>
    <w:p w14:paraId="03FBA2B2">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2、甲、乙双方均同意向（</w:t>
      </w:r>
      <w:r>
        <w:rPr>
          <w:rFonts w:hint="eastAsia" w:ascii="仿宋" w:hAnsi="仿宋" w:eastAsia="仿宋" w:cs="仿宋"/>
          <w:kern w:val="0"/>
          <w:sz w:val="24"/>
        </w:rPr>
        <w:fldChar w:fldCharType="begin"/>
      </w:r>
      <w:r>
        <w:rPr>
          <w:rFonts w:hint="eastAsia" w:ascii="仿宋" w:hAnsi="仿宋" w:eastAsia="仿宋" w:cs="仿宋"/>
          <w:kern w:val="0"/>
          <w:sz w:val="24"/>
        </w:rPr>
        <w:instrText xml:space="preserve"> HYPERLINK "http://www.baidu.com/s?wd=%E4%BB%B2%E8%A3%81%E5%A7%94%E5%91%98%E4%BC%9A&amp;tn=SE_PcZhidaonwhc_ngpagmjz&amp;rsv_dl=gh_pc_zhidao" \t "_blank" </w:instrText>
      </w:r>
      <w:r>
        <w:rPr>
          <w:rFonts w:hint="eastAsia" w:ascii="仿宋" w:hAnsi="仿宋" w:eastAsia="仿宋" w:cs="仿宋"/>
          <w:kern w:val="0"/>
          <w:sz w:val="24"/>
        </w:rPr>
        <w:fldChar w:fldCharType="separate"/>
      </w:r>
      <w:r>
        <w:rPr>
          <w:rFonts w:hint="eastAsia" w:ascii="仿宋" w:hAnsi="仿宋" w:eastAsia="仿宋" w:cs="仿宋"/>
          <w:kern w:val="0"/>
          <w:sz w:val="24"/>
        </w:rPr>
        <w:t>仲裁委员会</w:t>
      </w:r>
      <w:r>
        <w:rPr>
          <w:rFonts w:hint="eastAsia" w:ascii="仿宋" w:hAnsi="仿宋" w:eastAsia="仿宋" w:cs="仿宋"/>
          <w:kern w:val="0"/>
          <w:sz w:val="24"/>
        </w:rPr>
        <w:fldChar w:fldCharType="end"/>
      </w:r>
      <w:r>
        <w:rPr>
          <w:rFonts w:hint="eastAsia" w:ascii="仿宋" w:hAnsi="仿宋" w:eastAsia="仿宋" w:cs="仿宋"/>
          <w:kern w:val="0"/>
          <w:sz w:val="24"/>
        </w:rPr>
        <w:t>）提起仲裁。</w:t>
      </w:r>
    </w:p>
    <w:p w14:paraId="2E25E142">
      <w:pPr>
        <w:adjustRightInd w:val="0"/>
        <w:snapToGrid w:val="0"/>
        <w:spacing w:line="360" w:lineRule="auto"/>
        <w:ind w:firstLine="480" w:firstLineChars="200"/>
        <w:rPr>
          <w:rFonts w:hint="eastAsia" w:ascii="仿宋" w:hAnsi="仿宋" w:eastAsia="仿宋" w:cs="仿宋"/>
          <w:sz w:val="24"/>
        </w:rPr>
      </w:pPr>
      <w:bookmarkStart w:id="8" w:name="_Toc19515395"/>
      <w:r>
        <w:rPr>
          <w:rFonts w:hint="eastAsia" w:ascii="仿宋" w:hAnsi="仿宋" w:eastAsia="仿宋" w:cs="仿宋"/>
          <w:sz w:val="24"/>
        </w:rPr>
        <w:t>十、合同生效及其它</w:t>
      </w:r>
      <w:bookmarkEnd w:id="8"/>
    </w:p>
    <w:p w14:paraId="7A2A42B2">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1、合同未尽事宜、由甲、乙双方协商，作为合同补充，与原合同具有同等法律效力。</w:t>
      </w:r>
    </w:p>
    <w:p w14:paraId="19EC5664">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2、 本合同正本一式</w:t>
      </w:r>
      <w:r>
        <w:rPr>
          <w:rFonts w:hint="eastAsia" w:ascii="仿宋" w:hAnsi="仿宋" w:eastAsia="仿宋" w:cs="仿宋"/>
          <w:kern w:val="0"/>
          <w:sz w:val="24"/>
          <w:u w:val="single"/>
        </w:rPr>
        <w:t xml:space="preserve">  </w:t>
      </w:r>
      <w:r>
        <w:rPr>
          <w:rFonts w:hint="eastAsia" w:ascii="仿宋" w:hAnsi="仿宋" w:eastAsia="仿宋" w:cs="仿宋"/>
          <w:kern w:val="0"/>
          <w:sz w:val="24"/>
        </w:rPr>
        <w:t>份，甲方、乙方双方分别执</w:t>
      </w:r>
      <w:r>
        <w:rPr>
          <w:rFonts w:hint="eastAsia" w:ascii="仿宋" w:hAnsi="仿宋" w:eastAsia="仿宋" w:cs="仿宋"/>
          <w:kern w:val="0"/>
          <w:sz w:val="24"/>
          <w:u w:val="single"/>
        </w:rPr>
        <w:t xml:space="preserve">  </w:t>
      </w:r>
      <w:r>
        <w:rPr>
          <w:rFonts w:hint="eastAsia" w:ascii="仿宋" w:hAnsi="仿宋" w:eastAsia="仿宋" w:cs="仿宋"/>
          <w:kern w:val="0"/>
          <w:sz w:val="24"/>
        </w:rPr>
        <w:t>份，</w:t>
      </w:r>
      <w:r>
        <w:rPr>
          <w:rFonts w:hint="eastAsia" w:ascii="仿宋" w:hAnsi="仿宋" w:eastAsia="仿宋" w:cs="仿宋"/>
          <w:kern w:val="0"/>
          <w:sz w:val="24"/>
          <w:u w:val="single"/>
        </w:rPr>
        <w:t xml:space="preserve">       </w:t>
      </w:r>
      <w:r>
        <w:rPr>
          <w:rFonts w:hint="eastAsia" w:ascii="仿宋" w:hAnsi="仿宋" w:eastAsia="仿宋" w:cs="仿宋"/>
          <w:kern w:val="0"/>
          <w:sz w:val="24"/>
        </w:rPr>
        <w:t>备案</w:t>
      </w:r>
      <w:r>
        <w:rPr>
          <w:rFonts w:hint="eastAsia" w:ascii="仿宋" w:hAnsi="仿宋" w:eastAsia="仿宋" w:cs="仿宋"/>
          <w:kern w:val="0"/>
          <w:sz w:val="24"/>
          <w:u w:val="single"/>
        </w:rPr>
        <w:t xml:space="preserve">  </w:t>
      </w:r>
      <w:r>
        <w:rPr>
          <w:rFonts w:hint="eastAsia" w:ascii="仿宋" w:hAnsi="仿宋" w:eastAsia="仿宋" w:cs="仿宋"/>
          <w:kern w:val="0"/>
          <w:sz w:val="24"/>
        </w:rPr>
        <w:t>份。</w:t>
      </w:r>
    </w:p>
    <w:p w14:paraId="36FD8F0D">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3、合同经甲乙双方盖章、签字后生效，合同签订地点为</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0903E9DA">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4、生效时间：</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p w14:paraId="29A374D1">
      <w:pPr>
        <w:widowControl/>
        <w:tabs>
          <w:tab w:val="left" w:pos="8391"/>
        </w:tabs>
        <w:autoSpaceDE w:val="0"/>
        <w:autoSpaceDN w:val="0"/>
        <w:snapToGrid w:val="0"/>
        <w:spacing w:line="360" w:lineRule="auto"/>
        <w:ind w:right="-69" w:firstLine="840" w:firstLineChars="350"/>
        <w:textAlignment w:val="bottom"/>
        <w:rPr>
          <w:rFonts w:hint="eastAsia" w:ascii="仿宋" w:hAnsi="仿宋" w:eastAsia="仿宋" w:cs="仿宋"/>
          <w:kern w:val="0"/>
          <w:sz w:val="24"/>
        </w:rPr>
      </w:pPr>
      <w:r>
        <w:rPr>
          <w:rFonts w:hint="eastAsia" w:ascii="仿宋" w:hAnsi="仿宋" w:eastAsia="仿宋" w:cs="仿宋"/>
          <w:kern w:val="0"/>
          <w:sz w:val="24"/>
        </w:rPr>
        <w:br w:type="page"/>
      </w:r>
    </w:p>
    <w:tbl>
      <w:tblPr>
        <w:tblStyle w:val="5"/>
        <w:tblW w:w="9286" w:type="dxa"/>
        <w:jc w:val="center"/>
        <w:tblLayout w:type="fixed"/>
        <w:tblCellMar>
          <w:top w:w="0" w:type="dxa"/>
          <w:left w:w="108" w:type="dxa"/>
          <w:bottom w:w="0" w:type="dxa"/>
          <w:right w:w="108" w:type="dxa"/>
        </w:tblCellMar>
      </w:tblPr>
      <w:tblGrid>
        <w:gridCol w:w="4643"/>
        <w:gridCol w:w="4643"/>
      </w:tblGrid>
      <w:tr w14:paraId="774302EB">
        <w:tblPrEx>
          <w:tblCellMar>
            <w:top w:w="0" w:type="dxa"/>
            <w:left w:w="108" w:type="dxa"/>
            <w:bottom w:w="0" w:type="dxa"/>
            <w:right w:w="108" w:type="dxa"/>
          </w:tblCellMar>
        </w:tblPrEx>
        <w:trPr>
          <w:jc w:val="center"/>
        </w:trPr>
        <w:tc>
          <w:tcPr>
            <w:tcW w:w="4643" w:type="dxa"/>
            <w:noWrap w:val="0"/>
            <w:vAlign w:val="top"/>
          </w:tcPr>
          <w:p w14:paraId="5B28728F">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甲方名称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2DE4059D">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14:paraId="7E99F345">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2F753735">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14:paraId="56586E73">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20E64964">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账号：</w:t>
            </w:r>
          </w:p>
        </w:tc>
        <w:tc>
          <w:tcPr>
            <w:tcW w:w="4643" w:type="dxa"/>
            <w:noWrap w:val="0"/>
            <w:vAlign w:val="top"/>
          </w:tcPr>
          <w:p w14:paraId="011967CC">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乙方名称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74AA30B0">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14:paraId="4CC6C710">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3D4F3470">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14:paraId="75B753C8">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2A5A6C2A">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账号：</w:t>
            </w:r>
          </w:p>
        </w:tc>
      </w:tr>
    </w:tbl>
    <w:p w14:paraId="50998728">
      <w:pPr>
        <w:rPr>
          <w:rFonts w:hint="eastAsia" w:ascii="仿宋" w:hAnsi="仿宋" w:eastAsia="仿宋" w:cs="仿宋"/>
        </w:rPr>
      </w:pPr>
    </w:p>
    <w:p w14:paraId="5EB1C9F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3AABF0"/>
    <w:multiLevelType w:val="singleLevel"/>
    <w:tmpl w:val="093AABF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B75416"/>
    <w:rsid w:val="247B62F4"/>
    <w:rsid w:val="303A3EAC"/>
    <w:rsid w:val="601D4F28"/>
    <w:rsid w:val="7EB75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uiPriority w:val="0"/>
    <w:pPr>
      <w:tabs>
        <w:tab w:val="left" w:pos="567"/>
      </w:tabs>
      <w:spacing w:before="120" w:line="22" w:lineRule="atLeast"/>
    </w:pPr>
    <w:rPr>
      <w:rFonts w:ascii="宋体" w:hAnsi="宋体"/>
      <w:sz w:val="24"/>
    </w:rPr>
  </w:style>
  <w:style w:type="character" w:customStyle="1" w:styleId="7">
    <w:name w:val="标题 1 字符"/>
    <w:link w:val="2"/>
    <w:uiPriority w:val="0"/>
    <w:rPr>
      <w:rFonts w:asciiTheme="minorAscii" w:hAnsiTheme="minorAscii"/>
      <w:b/>
      <w:kern w:val="44"/>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2025-07-02T11:48:00Z</dcterms:created>
  <dc:creator>℡Autism ミ</dc:creator>
  <cp:lastModifiedBy>℡Autism ミ</cp:lastModifiedBy>
  <dcterms:modified xsi:type="dcterms:W3CDTF">2025-07-02T11:49:42Z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7AE3E5DE5E904358BC0002B8374966C0_11</vt:lpwstr>
  </property>
  <property fmtid="{D5CDD505-2E9C-101B-9397-08002B2CF9AE}" pid="4" name="KSOTemplateDocerSaveRecord">
    <vt:lpwstr>eyJoZGlkIjoiMTg0ODQ0Y2YwNjk1Mjk3MWJlZjViNDM3OWVhZmY2OTIiLCJ1c2VySWQiOiIzODE5MDc1NjQifQ==</vt:lpwstr>
  </property>
</Properties>
</file>