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版本号：DQA-2025089-CS20250710001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未央校区2025年毕业生房间粉刷项目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DQA-2025089-CS</w:t>
      </w:r>
      <w:r>
        <w:br/>
      </w:r>
      <w:r>
        <w:br/>
      </w:r>
      <w:r>
        <w:br/>
      </w:r>
    </w:p>
    <w:p>
      <w:pPr>
        <w:pStyle w:val="null3"/>
        <w:jc w:val="center"/>
        <w:outlineLvl w:val="2"/>
      </w:pPr>
      <w:r>
        <w:rPr>
          <w:rFonts w:ascii="仿宋_GB2312" w:hAnsi="仿宋_GB2312" w:cs="仿宋_GB2312" w:eastAsia="仿宋_GB2312"/>
          <w:sz w:val="28"/>
          <w:b/>
        </w:rPr>
        <w:t>西安工业大学</w:t>
      </w:r>
    </w:p>
    <w:p>
      <w:pPr>
        <w:pStyle w:val="null3"/>
        <w:jc w:val="center"/>
        <w:outlineLvl w:val="2"/>
      </w:pPr>
      <w:r>
        <w:rPr>
          <w:rFonts w:ascii="仿宋_GB2312" w:hAnsi="仿宋_GB2312" w:cs="仿宋_GB2312" w:eastAsia="仿宋_GB2312"/>
          <w:sz w:val="28"/>
          <w:b/>
        </w:rPr>
        <w:t>陕西德勤招标有限公司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陕西德勤招标有限公司</w:t>
      </w:r>
      <w:r>
        <w:rPr>
          <w:rFonts w:ascii="仿宋_GB2312" w:hAnsi="仿宋_GB2312" w:cs="仿宋_GB2312" w:eastAsia="仿宋_GB2312"/>
        </w:rPr>
        <w:t>（以下简称“代理机构”）受</w:t>
      </w:r>
      <w:r>
        <w:rPr>
          <w:rFonts w:ascii="仿宋_GB2312" w:hAnsi="仿宋_GB2312" w:cs="仿宋_GB2312" w:eastAsia="仿宋_GB2312"/>
        </w:rPr>
        <w:t>西安工业大学</w:t>
      </w:r>
      <w:r>
        <w:rPr>
          <w:rFonts w:ascii="仿宋_GB2312" w:hAnsi="仿宋_GB2312" w:cs="仿宋_GB2312" w:eastAsia="仿宋_GB2312"/>
        </w:rPr>
        <w:t>委托，拟对</w:t>
      </w:r>
      <w:r>
        <w:rPr>
          <w:rFonts w:ascii="仿宋_GB2312" w:hAnsi="仿宋_GB2312" w:cs="仿宋_GB2312" w:eastAsia="仿宋_GB2312"/>
        </w:rPr>
        <w:t>未央校区2025年毕业生房间粉刷项目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DQA-2025089-CS</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未央校区2025年毕业生房间粉刷项目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本项目位于西安工业大学未央校区，主要对毕业生房间进行粉刷改造，共分为两个标包，详见磋商文件及工程量清单、图纸。</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采购包1（西安工业大学未央校区2025年毕业生房间粉刷1包）：属于专门面向中小企业采购。</w:t>
      </w:r>
    </w:p>
    <w:p>
      <w:pPr>
        <w:pStyle w:val="null3"/>
      </w:pPr>
      <w:r>
        <w:rPr>
          <w:rFonts w:ascii="仿宋_GB2312" w:hAnsi="仿宋_GB2312" w:cs="仿宋_GB2312" w:eastAsia="仿宋_GB2312"/>
        </w:rPr>
        <w:t>采购包2（西安工业大学未央校区2025年毕业生房间粉刷2包）：属于专门面向null采购。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1、主体资格证明文件：提供有效存续的企业营业执照（副本）；</w:t>
      </w:r>
    </w:p>
    <w:p>
      <w:pPr>
        <w:pStyle w:val="null3"/>
      </w:pPr>
      <w:r>
        <w:rPr>
          <w:rFonts w:ascii="仿宋_GB2312" w:hAnsi="仿宋_GB2312" w:cs="仿宋_GB2312" w:eastAsia="仿宋_GB2312"/>
        </w:rPr>
        <w:t>2、财务状况报告：提供2024年度经审计的财务报告（成立时间至提交响应文件截止时间不足一年的可提供成立后任意时段的资产负债表），或其递交响应文件截止之日前三个月内基本开户银行出具的资信证明(以上两种形式的资料提供任何一种即可）。</w:t>
      </w:r>
    </w:p>
    <w:p>
      <w:pPr>
        <w:pStyle w:val="null3"/>
      </w:pPr>
      <w:r>
        <w:rPr>
          <w:rFonts w:ascii="仿宋_GB2312" w:hAnsi="仿宋_GB2312" w:cs="仿宋_GB2312" w:eastAsia="仿宋_GB2312"/>
        </w:rPr>
        <w:t>3、书面声明：提供书面声明，包括声明具有履行合同所必需的设备和专业技术能力。</w:t>
      </w:r>
    </w:p>
    <w:p>
      <w:pPr>
        <w:pStyle w:val="null3"/>
      </w:pPr>
      <w:r>
        <w:rPr>
          <w:rFonts w:ascii="仿宋_GB2312" w:hAnsi="仿宋_GB2312" w:cs="仿宋_GB2312" w:eastAsia="仿宋_GB2312"/>
        </w:rPr>
        <w:t>4、社保缴纳证明：提供开标前一年内任意时段已缴纳的社会保障资金缴存单据或社保机构开具的社会保险参保缴费情况证明；依法不需要缴纳社会保障资金的应提供相关文件证明；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5、税收缴纳证明：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6、近三年无重大违法、违纪书面声明：提供《近三年无重大违法、违纪书面声明》；</w:t>
      </w:r>
    </w:p>
    <w:p>
      <w:pPr>
        <w:pStyle w:val="null3"/>
      </w:pPr>
      <w:r>
        <w:rPr>
          <w:rFonts w:ascii="仿宋_GB2312" w:hAnsi="仿宋_GB2312" w:cs="仿宋_GB2312" w:eastAsia="仿宋_GB2312"/>
        </w:rPr>
        <w:t>7、信用记录：供应商未被列入“信用中国”网站记录的“失信被执行人”或“重大税收违法失信主体”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8、控股和管理关系：提供直接控股和管理关系清单。若与其他供应商存在单位负责人为同一人或者存在直接控股、管理关系的，则响应无效。</w:t>
      </w:r>
    </w:p>
    <w:p>
      <w:pPr>
        <w:pStyle w:val="null3"/>
      </w:pPr>
      <w:r>
        <w:rPr>
          <w:rFonts w:ascii="仿宋_GB2312" w:hAnsi="仿宋_GB2312" w:cs="仿宋_GB2312" w:eastAsia="仿宋_GB2312"/>
        </w:rPr>
        <w:t>9、法定代表人授权委托书：法定代表人参加磋商的，须提供本人身份证复印件；法定代表人授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w:t>
      </w:r>
    </w:p>
    <w:p>
      <w:pPr>
        <w:pStyle w:val="null3"/>
      </w:pPr>
      <w:r>
        <w:rPr>
          <w:rFonts w:ascii="仿宋_GB2312" w:hAnsi="仿宋_GB2312" w:cs="仿宋_GB2312" w:eastAsia="仿宋_GB2312"/>
        </w:rPr>
        <w:t>10、本项目不接受联合体磋商，不允许分包：供应商应提供《非联合体不分包磋商声明》，视为独立磋商，不分包。</w:t>
      </w:r>
    </w:p>
    <w:p>
      <w:pPr>
        <w:pStyle w:val="null3"/>
      </w:pPr>
      <w:r>
        <w:rPr>
          <w:rFonts w:ascii="仿宋_GB2312" w:hAnsi="仿宋_GB2312" w:cs="仿宋_GB2312" w:eastAsia="仿宋_GB2312"/>
        </w:rPr>
        <w:t>11、企业资质：供应商应具有建设行政主管部门颁发的建筑工程施工总承包三级及以上或建筑装修装修二级及以上资质，且具有建设行政主管部门颁发的安全生产许可证；</w:t>
      </w:r>
    </w:p>
    <w:p>
      <w:pPr>
        <w:pStyle w:val="null3"/>
      </w:pPr>
      <w:r>
        <w:rPr>
          <w:rFonts w:ascii="仿宋_GB2312" w:hAnsi="仿宋_GB2312" w:cs="仿宋_GB2312" w:eastAsia="仿宋_GB2312"/>
        </w:rPr>
        <w:t>12、项目经理：拟派项目经理需具备（注册建造师二级）建筑工程专业及以上执业资格，具备有效的安全生产考核合格B证，在本单位注册且无在建项目，提供无在建承诺书（内容格式自拟）。</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1、主体资格证明文件：提供有效存续的企业营业执照（副本）；</w:t>
      </w:r>
    </w:p>
    <w:p>
      <w:pPr>
        <w:pStyle w:val="null3"/>
      </w:pPr>
      <w:r>
        <w:rPr>
          <w:rFonts w:ascii="仿宋_GB2312" w:hAnsi="仿宋_GB2312" w:cs="仿宋_GB2312" w:eastAsia="仿宋_GB2312"/>
        </w:rPr>
        <w:t>2、财务状况报告：提供2024年度经审计的财务报告（成立时间至提交响应文件截止时间不足一年的可提供成立后任意时段的资产负债表），或其递交响应文件截止之日前三个月内基本开户银行出具的资信证明(以上两种形式的资料提供任何一种即可）。</w:t>
      </w:r>
    </w:p>
    <w:p>
      <w:pPr>
        <w:pStyle w:val="null3"/>
      </w:pPr>
      <w:r>
        <w:rPr>
          <w:rFonts w:ascii="仿宋_GB2312" w:hAnsi="仿宋_GB2312" w:cs="仿宋_GB2312" w:eastAsia="仿宋_GB2312"/>
        </w:rPr>
        <w:t>3、书面声明：提供书面声明，包括声明具有履行合同所必需的设备和专业技术能力。</w:t>
      </w:r>
    </w:p>
    <w:p>
      <w:pPr>
        <w:pStyle w:val="null3"/>
      </w:pPr>
      <w:r>
        <w:rPr>
          <w:rFonts w:ascii="仿宋_GB2312" w:hAnsi="仿宋_GB2312" w:cs="仿宋_GB2312" w:eastAsia="仿宋_GB2312"/>
        </w:rPr>
        <w:t>4、社保缴纳证明：提供开标前一年内任意时段已缴纳的社会保障资金缴存单据或社保机构开具的社会保险参保缴费情况证明；依法不需要缴纳社会保障资金的应提供相关文件证明；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5、税收缴纳证明：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6、近三年无重大违法、违纪书面声明：提供《近三年无重大违法、违纪书面声明》；</w:t>
      </w:r>
    </w:p>
    <w:p>
      <w:pPr>
        <w:pStyle w:val="null3"/>
      </w:pPr>
      <w:r>
        <w:rPr>
          <w:rFonts w:ascii="仿宋_GB2312" w:hAnsi="仿宋_GB2312" w:cs="仿宋_GB2312" w:eastAsia="仿宋_GB2312"/>
        </w:rPr>
        <w:t>7、信用记录：供应商未被列入“信用中国”网站记录的“失信被执行人”或“重大税收违法失信主体”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8、控股和管理关系：提供直接控股和管理关系清单。若与其他供应商存在单位负责人为同一人或者存在直接控股、管理关系的，则响应无效。</w:t>
      </w:r>
    </w:p>
    <w:p>
      <w:pPr>
        <w:pStyle w:val="null3"/>
      </w:pPr>
      <w:r>
        <w:rPr>
          <w:rFonts w:ascii="仿宋_GB2312" w:hAnsi="仿宋_GB2312" w:cs="仿宋_GB2312" w:eastAsia="仿宋_GB2312"/>
        </w:rPr>
        <w:t>9、法定代表人授权委托书：法定代表人参加磋商的，须提供本人身份证复印件；法定代表人授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w:t>
      </w:r>
    </w:p>
    <w:p>
      <w:pPr>
        <w:pStyle w:val="null3"/>
      </w:pPr>
      <w:r>
        <w:rPr>
          <w:rFonts w:ascii="仿宋_GB2312" w:hAnsi="仿宋_GB2312" w:cs="仿宋_GB2312" w:eastAsia="仿宋_GB2312"/>
        </w:rPr>
        <w:t>10、本项目不接受联合体磋商，不允许分包：供应商应提供《非联合体不分包磋商声明》，视为独立磋商，不分包。</w:t>
      </w:r>
    </w:p>
    <w:p>
      <w:pPr>
        <w:pStyle w:val="null3"/>
      </w:pPr>
      <w:r>
        <w:rPr>
          <w:rFonts w:ascii="仿宋_GB2312" w:hAnsi="仿宋_GB2312" w:cs="仿宋_GB2312" w:eastAsia="仿宋_GB2312"/>
        </w:rPr>
        <w:t>11、企业资质：供应商应具有建设行政主管部门颁发的建筑工程施工总承包三级及以上或建筑装修装修二级及以上资质，且具有建设行政主管部门颁发的安全生产许可证；</w:t>
      </w:r>
    </w:p>
    <w:p>
      <w:pPr>
        <w:pStyle w:val="null3"/>
      </w:pPr>
      <w:r>
        <w:rPr>
          <w:rFonts w:ascii="仿宋_GB2312" w:hAnsi="仿宋_GB2312" w:cs="仿宋_GB2312" w:eastAsia="仿宋_GB2312"/>
        </w:rPr>
        <w:t>12、项目经理：拟派项目经理需具备（注册建造师二级）建筑工程专业及以上执业资格，具备有效的安全生产考核合格B证，在本单位注册且无在建项目，提供无在建承诺书（内容格式自拟）。</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西安工业大学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未央区学府中路2号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029-86173142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陕西德勤招标有限公司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陕西省西安市高新区丈八一路1号汇鑫中心D座2206室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贾旭鸣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029-81169855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采购包1：574,750.00元</w:t>
            </w:r>
          </w:p>
          <w:p>
            <w:pPr>
              <w:pStyle w:val="null3"/>
            </w:pPr>
            <w:r>
              <w:rPr>
                <w:rFonts w:ascii="仿宋_GB2312" w:hAnsi="仿宋_GB2312" w:cs="仿宋_GB2312" w:eastAsia="仿宋_GB2312"/>
              </w:rPr>
              <w:t>采购包2：574,750.00元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采购包2保证金金额：9,000.00元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开户名称：陕西德勤招标有限公司</w:t>
            </w:r>
          </w:p>
          <w:p>
            <w:pPr>
              <w:pStyle w:val="null3"/>
            </w:pPr>
            <w:r>
              <w:rPr>
                <w:rFonts w:ascii="仿宋_GB2312" w:hAnsi="仿宋_GB2312" w:cs="仿宋_GB2312" w:eastAsia="仿宋_GB2312"/>
              </w:rPr>
              <w:t>开户银行：光大银行西安丈八东路支行</w:t>
            </w:r>
          </w:p>
          <w:p>
            <w:pPr>
              <w:pStyle w:val="null3"/>
            </w:pPr>
            <w:r>
              <w:rPr>
                <w:rFonts w:ascii="仿宋_GB2312" w:hAnsi="仿宋_GB2312" w:cs="仿宋_GB2312" w:eastAsia="仿宋_GB2312"/>
              </w:rPr>
              <w:t>银行账号：52880188000134633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说明：签订合同前成交供应商须向采购人缴纳合同额5％的履约保证金。 合同如期履约完成且保修期届满，采购人扣除相关费用后，采购人免息原缴费账户退还履约保证金余额。</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说明：签订合同前成交供应商须向采购人缴纳合同额5％的履约保证金。 合同如期履约完成且保修期届满，采购人扣除相关费用后，采购人免息原缴费账户退还履约保证金余额。</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代理服务费收费标准：成交供应商在领取成交通知书前，须向采购代理机构一次性支付采购代理服务费，采购代理服务费按照成交金额的0.6%计取。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西安工业大学</w:t>
      </w:r>
      <w:r>
        <w:rPr>
          <w:rFonts w:ascii="仿宋_GB2312" w:hAnsi="仿宋_GB2312" w:cs="仿宋_GB2312" w:eastAsia="仿宋_GB2312"/>
        </w:rPr>
        <w:t>和</w:t>
      </w:r>
      <w:r>
        <w:rPr>
          <w:rFonts w:ascii="仿宋_GB2312" w:hAnsi="仿宋_GB2312" w:cs="仿宋_GB2312" w:eastAsia="仿宋_GB2312"/>
        </w:rPr>
        <w:t>陕西德勤招标有限公司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西安工业大学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陕西德勤招标有限公司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西安工业大学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陕西德勤招标有限公司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pPr>
      <w:r>
        <w:rPr>
          <w:rFonts w:ascii="仿宋_GB2312" w:hAnsi="仿宋_GB2312" w:cs="仿宋_GB2312" w:eastAsia="仿宋_GB2312"/>
        </w:rPr>
        <w:t>采购包2：项目单价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本工程按国家和陕西省西安市现行质量评定标准和施工技术验收规范执行，在工程施工期间颁布新规范或新版本适用本工程的需遵照执行。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联系人：贾旭鸣</w:t>
      </w:r>
    </w:p>
    <w:p>
      <w:pPr>
        <w:pStyle w:val="null3"/>
      </w:pPr>
      <w:r>
        <w:rPr>
          <w:rFonts w:ascii="仿宋_GB2312" w:hAnsi="仿宋_GB2312" w:cs="仿宋_GB2312" w:eastAsia="仿宋_GB2312"/>
        </w:rPr>
        <w:t>联系电话：029-81169855</w:t>
      </w:r>
    </w:p>
    <w:p>
      <w:pPr>
        <w:pStyle w:val="null3"/>
      </w:pPr>
      <w:r>
        <w:rPr>
          <w:rFonts w:ascii="仿宋_GB2312" w:hAnsi="仿宋_GB2312" w:cs="仿宋_GB2312" w:eastAsia="仿宋_GB2312"/>
        </w:rPr>
        <w:t>地址：陕西省西安市高新区丈八一路1号汇鑫中心D座2206室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574,750.00</w:t>
      </w:r>
    </w:p>
    <w:p>
      <w:pPr>
        <w:pStyle w:val="null3"/>
      </w:pPr>
      <w:r>
        <w:rPr>
          <w:rFonts w:ascii="仿宋_GB2312" w:hAnsi="仿宋_GB2312" w:cs="仿宋_GB2312" w:eastAsia="仿宋_GB2312"/>
        </w:rPr>
        <w:t>采购包最高限价（元）: 573,640.57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西安工业大学未央校区2025年毕业生房间粉刷1包</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574,750.00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574,750.00</w:t>
      </w:r>
    </w:p>
    <w:p>
      <w:pPr>
        <w:pStyle w:val="null3"/>
      </w:pPr>
      <w:r>
        <w:rPr>
          <w:rFonts w:ascii="仿宋_GB2312" w:hAnsi="仿宋_GB2312" w:cs="仿宋_GB2312" w:eastAsia="仿宋_GB2312"/>
        </w:rPr>
        <w:t>采购包最高限价（元）: 573,640.57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西安工业大学未央校区2025年毕业生房间粉刷2包</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574,750.00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标的名称：西安工业大学未央校区2025年毕业生房间粉刷1包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4"/>
                <w:b/>
                <w:color w:val="000000"/>
              </w:rPr>
              <w:t>一、项目概况</w:t>
            </w:r>
          </w:p>
          <w:p>
            <w:pPr>
              <w:pStyle w:val="null3"/>
              <w:ind w:firstLine="480"/>
              <w:jc w:val="both"/>
            </w:pPr>
            <w:r>
              <w:rPr>
                <w:rFonts w:ascii="仿宋_GB2312" w:hAnsi="仿宋_GB2312" w:cs="仿宋_GB2312" w:eastAsia="仿宋_GB2312"/>
                <w:sz w:val="24"/>
                <w:color w:val="000000"/>
              </w:rPr>
              <w:t>1.建设地点：本项目位于西安工业大学未央校区</w:t>
            </w:r>
          </w:p>
          <w:p>
            <w:pPr>
              <w:pStyle w:val="null3"/>
              <w:ind w:firstLine="480"/>
              <w:jc w:val="both"/>
            </w:pPr>
            <w:r>
              <w:rPr>
                <w:rFonts w:ascii="仿宋_GB2312" w:hAnsi="仿宋_GB2312" w:cs="仿宋_GB2312" w:eastAsia="仿宋_GB2312"/>
                <w:sz w:val="24"/>
                <w:color w:val="000000"/>
              </w:rPr>
              <w:t>2.建设内容：具体内容见工程量清单。</w:t>
            </w:r>
          </w:p>
          <w:p>
            <w:pPr>
              <w:pStyle w:val="null3"/>
              <w:ind w:firstLine="480"/>
              <w:jc w:val="both"/>
            </w:pPr>
            <w:r>
              <w:rPr>
                <w:rFonts w:ascii="仿宋_GB2312" w:hAnsi="仿宋_GB2312" w:cs="仿宋_GB2312" w:eastAsia="仿宋_GB2312"/>
                <w:sz w:val="24"/>
                <w:color w:val="000000"/>
              </w:rPr>
              <w:t>3.其它要求:①施工中的工艺工序及结果，达到GB50210-2018验收标准和国家与行业现行技术规范标准。②满足建设单位施工现场的需求。</w:t>
            </w:r>
          </w:p>
          <w:p>
            <w:pPr>
              <w:pStyle w:val="null3"/>
              <w:ind w:firstLine="480"/>
              <w:jc w:val="both"/>
            </w:pPr>
            <w:r>
              <w:rPr>
                <w:rFonts w:ascii="仿宋_GB2312" w:hAnsi="仿宋_GB2312" w:cs="仿宋_GB2312" w:eastAsia="仿宋_GB2312"/>
                <w:sz w:val="24"/>
                <w:b/>
                <w:color w:val="000000"/>
              </w:rPr>
              <w:t>二、项目最高限价：</w:t>
            </w:r>
            <w:r>
              <w:rPr>
                <w:rFonts w:ascii="仿宋_GB2312" w:hAnsi="仿宋_GB2312" w:cs="仿宋_GB2312" w:eastAsia="仿宋_GB2312"/>
                <w:sz w:val="24"/>
                <w:color w:val="000000"/>
              </w:rPr>
              <w:t>573,640.47</w:t>
            </w:r>
            <w:r>
              <w:rPr>
                <w:rFonts w:ascii="仿宋_GB2312" w:hAnsi="仿宋_GB2312" w:cs="仿宋_GB2312" w:eastAsia="仿宋_GB2312"/>
                <w:sz w:val="24"/>
                <w:color w:val="000000"/>
              </w:rPr>
              <w:t>元</w:t>
            </w:r>
          </w:p>
          <w:p>
            <w:pPr>
              <w:pStyle w:val="null3"/>
              <w:ind w:firstLine="480"/>
              <w:jc w:val="both"/>
            </w:pPr>
            <w:r>
              <w:rPr>
                <w:rFonts w:ascii="仿宋_GB2312" w:hAnsi="仿宋_GB2312" w:cs="仿宋_GB2312" w:eastAsia="仿宋_GB2312"/>
                <w:sz w:val="24"/>
                <w:b/>
                <w:color w:val="000000"/>
              </w:rPr>
              <w:t>三、编制依据</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陕西省建设工程工程量清单计价计算标准</w:t>
            </w:r>
            <w:r>
              <w:rPr>
                <w:rFonts w:ascii="仿宋_GB2312" w:hAnsi="仿宋_GB2312" w:cs="仿宋_GB2312" w:eastAsia="仿宋_GB2312"/>
                <w:sz w:val="24"/>
              </w:rPr>
              <w:t>》（</w:t>
            </w:r>
            <w:r>
              <w:rPr>
                <w:rFonts w:ascii="仿宋_GB2312" w:hAnsi="仿宋_GB2312" w:cs="仿宋_GB2312" w:eastAsia="仿宋_GB2312"/>
                <w:sz w:val="24"/>
              </w:rPr>
              <w:t>2025</w:t>
            </w:r>
            <w:r>
              <w:rPr>
                <w:rFonts w:ascii="仿宋_GB2312" w:hAnsi="仿宋_GB2312" w:cs="仿宋_GB2312" w:eastAsia="仿宋_GB2312"/>
                <w:sz w:val="24"/>
              </w:rPr>
              <w:t>）、</w:t>
            </w:r>
            <w:r>
              <w:rPr>
                <w:rFonts w:ascii="仿宋_GB2312" w:hAnsi="仿宋_GB2312" w:cs="仿宋_GB2312" w:eastAsia="仿宋_GB2312"/>
                <w:sz w:val="24"/>
              </w:rPr>
              <w:t>《陕西省建设工程</w:t>
            </w:r>
            <w:r>
              <w:rPr>
                <w:rFonts w:ascii="仿宋_GB2312" w:hAnsi="仿宋_GB2312" w:cs="仿宋_GB2312" w:eastAsia="仿宋_GB2312"/>
                <w:sz w:val="24"/>
              </w:rPr>
              <w:t>费用</w:t>
            </w:r>
            <w:r>
              <w:rPr>
                <w:rFonts w:ascii="仿宋_GB2312" w:hAnsi="仿宋_GB2312" w:cs="仿宋_GB2312" w:eastAsia="仿宋_GB2312"/>
                <w:sz w:val="24"/>
              </w:rPr>
              <w:t>规则》（</w:t>
            </w:r>
            <w:r>
              <w:rPr>
                <w:rFonts w:ascii="仿宋_GB2312" w:hAnsi="仿宋_GB2312" w:cs="仿宋_GB2312" w:eastAsia="仿宋_GB2312"/>
                <w:sz w:val="24"/>
              </w:rPr>
              <w:t>20</w:t>
            </w:r>
            <w:r>
              <w:rPr>
                <w:rFonts w:ascii="仿宋_GB2312" w:hAnsi="仿宋_GB2312" w:cs="仿宋_GB2312" w:eastAsia="仿宋_GB2312"/>
                <w:sz w:val="24"/>
              </w:rPr>
              <w:t>25</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陕西省</w:t>
            </w:r>
            <w:r>
              <w:rPr>
                <w:rFonts w:ascii="仿宋_GB2312" w:hAnsi="仿宋_GB2312" w:cs="仿宋_GB2312" w:eastAsia="仿宋_GB2312"/>
                <w:sz w:val="24"/>
              </w:rPr>
              <w:t>房屋建筑与装饰</w:t>
            </w:r>
            <w:r>
              <w:rPr>
                <w:rFonts w:ascii="仿宋_GB2312" w:hAnsi="仿宋_GB2312" w:cs="仿宋_GB2312" w:eastAsia="仿宋_GB2312"/>
                <w:sz w:val="24"/>
              </w:rPr>
              <w:t>消耗量定额》（</w:t>
            </w:r>
            <w:r>
              <w:rPr>
                <w:rFonts w:ascii="仿宋_GB2312" w:hAnsi="仿宋_GB2312" w:cs="仿宋_GB2312" w:eastAsia="仿宋_GB2312"/>
                <w:sz w:val="24"/>
              </w:rPr>
              <w:t>20</w:t>
            </w:r>
            <w:r>
              <w:rPr>
                <w:rFonts w:ascii="仿宋_GB2312" w:hAnsi="仿宋_GB2312" w:cs="仿宋_GB2312" w:eastAsia="仿宋_GB2312"/>
                <w:sz w:val="24"/>
              </w:rPr>
              <w:t>25</w:t>
            </w:r>
            <w:r>
              <w:rPr>
                <w:rFonts w:ascii="仿宋_GB2312" w:hAnsi="仿宋_GB2312" w:cs="仿宋_GB2312" w:eastAsia="仿宋_GB2312"/>
                <w:sz w:val="24"/>
              </w:rPr>
              <w:t>）《</w:t>
            </w:r>
            <w:r>
              <w:rPr>
                <w:rFonts w:ascii="仿宋_GB2312" w:hAnsi="仿宋_GB2312" w:cs="仿宋_GB2312" w:eastAsia="仿宋_GB2312"/>
                <w:sz w:val="24"/>
              </w:rPr>
              <w:t>陕西省</w:t>
            </w:r>
            <w:r>
              <w:rPr>
                <w:rFonts w:ascii="仿宋_GB2312" w:hAnsi="仿宋_GB2312" w:cs="仿宋_GB2312" w:eastAsia="仿宋_GB2312"/>
                <w:sz w:val="24"/>
              </w:rPr>
              <w:t>通用安装工程</w:t>
            </w:r>
            <w:r>
              <w:rPr>
                <w:rFonts w:ascii="仿宋_GB2312" w:hAnsi="仿宋_GB2312" w:cs="仿宋_GB2312" w:eastAsia="仿宋_GB2312"/>
                <w:sz w:val="24"/>
              </w:rPr>
              <w:t>消耗量定额》（</w:t>
            </w:r>
            <w:r>
              <w:rPr>
                <w:rFonts w:ascii="仿宋_GB2312" w:hAnsi="仿宋_GB2312" w:cs="仿宋_GB2312" w:eastAsia="仿宋_GB2312"/>
                <w:sz w:val="24"/>
              </w:rPr>
              <w:t>20</w:t>
            </w:r>
            <w:r>
              <w:rPr>
                <w:rFonts w:ascii="仿宋_GB2312" w:hAnsi="仿宋_GB2312" w:cs="仿宋_GB2312" w:eastAsia="仿宋_GB2312"/>
                <w:sz w:val="24"/>
              </w:rPr>
              <w:t>25</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陕西省</w:t>
            </w:r>
            <w:r>
              <w:rPr>
                <w:rFonts w:ascii="仿宋_GB2312" w:hAnsi="仿宋_GB2312" w:cs="仿宋_GB2312" w:eastAsia="仿宋_GB2312"/>
                <w:sz w:val="24"/>
              </w:rPr>
              <w:t>市政工程</w:t>
            </w:r>
            <w:r>
              <w:rPr>
                <w:rFonts w:ascii="仿宋_GB2312" w:hAnsi="仿宋_GB2312" w:cs="仿宋_GB2312" w:eastAsia="仿宋_GB2312"/>
                <w:sz w:val="24"/>
              </w:rPr>
              <w:t>消耗量定额》（</w:t>
            </w:r>
            <w:r>
              <w:rPr>
                <w:rFonts w:ascii="仿宋_GB2312" w:hAnsi="仿宋_GB2312" w:cs="仿宋_GB2312" w:eastAsia="仿宋_GB2312"/>
                <w:sz w:val="24"/>
              </w:rPr>
              <w:t>20</w:t>
            </w:r>
            <w:r>
              <w:rPr>
                <w:rFonts w:ascii="仿宋_GB2312" w:hAnsi="仿宋_GB2312" w:cs="仿宋_GB2312" w:eastAsia="仿宋_GB2312"/>
                <w:sz w:val="24"/>
              </w:rPr>
              <w:t>25</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陕西省</w:t>
            </w:r>
            <w:r>
              <w:rPr>
                <w:rFonts w:ascii="仿宋_GB2312" w:hAnsi="仿宋_GB2312" w:cs="仿宋_GB2312" w:eastAsia="仿宋_GB2312"/>
                <w:sz w:val="24"/>
              </w:rPr>
              <w:t>园林绿化工程</w:t>
            </w:r>
            <w:r>
              <w:rPr>
                <w:rFonts w:ascii="仿宋_GB2312" w:hAnsi="仿宋_GB2312" w:cs="仿宋_GB2312" w:eastAsia="仿宋_GB2312"/>
                <w:sz w:val="24"/>
              </w:rPr>
              <w:t>消耗量定额》（</w:t>
            </w:r>
            <w:r>
              <w:rPr>
                <w:rFonts w:ascii="仿宋_GB2312" w:hAnsi="仿宋_GB2312" w:cs="仿宋_GB2312" w:eastAsia="仿宋_GB2312"/>
                <w:sz w:val="24"/>
              </w:rPr>
              <w:t>20</w:t>
            </w:r>
            <w:r>
              <w:rPr>
                <w:rFonts w:ascii="仿宋_GB2312" w:hAnsi="仿宋_GB2312" w:cs="仿宋_GB2312" w:eastAsia="仿宋_GB2312"/>
                <w:sz w:val="24"/>
              </w:rPr>
              <w:t>25</w:t>
            </w:r>
            <w:r>
              <w:rPr>
                <w:rFonts w:ascii="仿宋_GB2312" w:hAnsi="仿宋_GB2312" w:cs="仿宋_GB2312" w:eastAsia="仿宋_GB2312"/>
                <w:sz w:val="24"/>
              </w:rPr>
              <w:t>）、</w:t>
            </w:r>
            <w:r>
              <w:rPr>
                <w:rFonts w:ascii="仿宋_GB2312" w:hAnsi="仿宋_GB2312" w:cs="仿宋_GB2312" w:eastAsia="仿宋_GB2312"/>
                <w:sz w:val="24"/>
              </w:rPr>
              <w:t>《陕西省</w:t>
            </w:r>
            <w:r>
              <w:rPr>
                <w:rFonts w:ascii="仿宋_GB2312" w:hAnsi="仿宋_GB2312" w:cs="仿宋_GB2312" w:eastAsia="仿宋_GB2312"/>
                <w:sz w:val="24"/>
              </w:rPr>
              <w:t>房屋建筑与装饰基价表</w:t>
            </w:r>
            <w:r>
              <w:rPr>
                <w:rFonts w:ascii="仿宋_GB2312" w:hAnsi="仿宋_GB2312" w:cs="仿宋_GB2312" w:eastAsia="仿宋_GB2312"/>
                <w:sz w:val="24"/>
              </w:rPr>
              <w:t>》（</w:t>
            </w:r>
            <w:r>
              <w:rPr>
                <w:rFonts w:ascii="仿宋_GB2312" w:hAnsi="仿宋_GB2312" w:cs="仿宋_GB2312" w:eastAsia="仿宋_GB2312"/>
                <w:sz w:val="24"/>
              </w:rPr>
              <w:t>20</w:t>
            </w:r>
            <w:r>
              <w:rPr>
                <w:rFonts w:ascii="仿宋_GB2312" w:hAnsi="仿宋_GB2312" w:cs="仿宋_GB2312" w:eastAsia="仿宋_GB2312"/>
                <w:sz w:val="24"/>
              </w:rPr>
              <w:t>25</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陕西省</w:t>
            </w:r>
            <w:r>
              <w:rPr>
                <w:rFonts w:ascii="仿宋_GB2312" w:hAnsi="仿宋_GB2312" w:cs="仿宋_GB2312" w:eastAsia="仿宋_GB2312"/>
                <w:sz w:val="24"/>
              </w:rPr>
              <w:t>通用安装工程基价表</w:t>
            </w:r>
            <w:r>
              <w:rPr>
                <w:rFonts w:ascii="仿宋_GB2312" w:hAnsi="仿宋_GB2312" w:cs="仿宋_GB2312" w:eastAsia="仿宋_GB2312"/>
                <w:sz w:val="24"/>
              </w:rPr>
              <w:t>》（</w:t>
            </w:r>
            <w:r>
              <w:rPr>
                <w:rFonts w:ascii="仿宋_GB2312" w:hAnsi="仿宋_GB2312" w:cs="仿宋_GB2312" w:eastAsia="仿宋_GB2312"/>
                <w:sz w:val="24"/>
              </w:rPr>
              <w:t>20</w:t>
            </w:r>
            <w:r>
              <w:rPr>
                <w:rFonts w:ascii="仿宋_GB2312" w:hAnsi="仿宋_GB2312" w:cs="仿宋_GB2312" w:eastAsia="仿宋_GB2312"/>
                <w:sz w:val="24"/>
              </w:rPr>
              <w:t>25</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陕西省</w:t>
            </w:r>
            <w:r>
              <w:rPr>
                <w:rFonts w:ascii="仿宋_GB2312" w:hAnsi="仿宋_GB2312" w:cs="仿宋_GB2312" w:eastAsia="仿宋_GB2312"/>
                <w:sz w:val="24"/>
              </w:rPr>
              <w:t>市政工程基价表</w:t>
            </w:r>
            <w:r>
              <w:rPr>
                <w:rFonts w:ascii="仿宋_GB2312" w:hAnsi="仿宋_GB2312" w:cs="仿宋_GB2312" w:eastAsia="仿宋_GB2312"/>
                <w:sz w:val="24"/>
              </w:rPr>
              <w:t>》（</w:t>
            </w:r>
            <w:r>
              <w:rPr>
                <w:rFonts w:ascii="仿宋_GB2312" w:hAnsi="仿宋_GB2312" w:cs="仿宋_GB2312" w:eastAsia="仿宋_GB2312"/>
                <w:sz w:val="24"/>
              </w:rPr>
              <w:t>20</w:t>
            </w:r>
            <w:r>
              <w:rPr>
                <w:rFonts w:ascii="仿宋_GB2312" w:hAnsi="仿宋_GB2312" w:cs="仿宋_GB2312" w:eastAsia="仿宋_GB2312"/>
                <w:sz w:val="24"/>
              </w:rPr>
              <w:t>25</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陕西省</w:t>
            </w:r>
            <w:r>
              <w:rPr>
                <w:rFonts w:ascii="仿宋_GB2312" w:hAnsi="仿宋_GB2312" w:cs="仿宋_GB2312" w:eastAsia="仿宋_GB2312"/>
                <w:sz w:val="24"/>
              </w:rPr>
              <w:t>园林绿化工程基价表</w:t>
            </w:r>
            <w:r>
              <w:rPr>
                <w:rFonts w:ascii="仿宋_GB2312" w:hAnsi="仿宋_GB2312" w:cs="仿宋_GB2312" w:eastAsia="仿宋_GB2312"/>
                <w:sz w:val="24"/>
              </w:rPr>
              <w:t>》（</w:t>
            </w:r>
            <w:r>
              <w:rPr>
                <w:rFonts w:ascii="仿宋_GB2312" w:hAnsi="仿宋_GB2312" w:cs="仿宋_GB2312" w:eastAsia="仿宋_GB2312"/>
                <w:sz w:val="24"/>
              </w:rPr>
              <w:t>20</w:t>
            </w:r>
            <w:r>
              <w:rPr>
                <w:rFonts w:ascii="仿宋_GB2312" w:hAnsi="仿宋_GB2312" w:cs="仿宋_GB2312" w:eastAsia="仿宋_GB2312"/>
                <w:sz w:val="24"/>
              </w:rPr>
              <w:t>25</w:t>
            </w:r>
            <w:r>
              <w:rPr>
                <w:rFonts w:ascii="仿宋_GB2312" w:hAnsi="仿宋_GB2312" w:cs="仿宋_GB2312" w:eastAsia="仿宋_GB2312"/>
                <w:sz w:val="24"/>
              </w:rPr>
              <w:t>）</w:t>
            </w:r>
            <w:r>
              <w:rPr>
                <w:rFonts w:ascii="仿宋_GB2312" w:hAnsi="仿宋_GB2312" w:cs="仿宋_GB2312" w:eastAsia="仿宋_GB2312"/>
                <w:sz w:val="24"/>
              </w:rPr>
              <w:t>等</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、《关于增加建设工程扬尘治理专项措施费及综合人工单价调整的通知》（陕建发</w:t>
            </w:r>
            <w:r>
              <w:rPr>
                <w:rFonts w:ascii="仿宋_GB2312" w:hAnsi="仿宋_GB2312" w:cs="仿宋_GB2312" w:eastAsia="仿宋_GB2312"/>
                <w:sz w:val="24"/>
              </w:rPr>
              <w:t>[2017]270号）；农民工实名制费率实行陕建发[2019]1246号文；《关于调整陕西省建设工程计价依据的通知》（陕建发〔2019〕45号），《关于调整房屋建筑和市政基础设施工程工程量清单计价综合人工单价的通知》（</w:t>
            </w:r>
            <w:r>
              <w:rPr>
                <w:rFonts w:ascii="仿宋_GB2312" w:hAnsi="仿宋_GB2312" w:cs="仿宋_GB2312" w:eastAsia="仿宋_GB2312"/>
                <w:sz w:val="24"/>
              </w:rPr>
              <w:t>陕建发〔</w:t>
            </w:r>
            <w:r>
              <w:rPr>
                <w:rFonts w:ascii="仿宋_GB2312" w:hAnsi="仿宋_GB2312" w:cs="仿宋_GB2312" w:eastAsia="仿宋_GB2312"/>
                <w:sz w:val="24"/>
              </w:rPr>
              <w:t>2021〕1097号</w:t>
            </w:r>
            <w:r>
              <w:rPr>
                <w:rFonts w:ascii="仿宋_GB2312" w:hAnsi="仿宋_GB2312" w:cs="仿宋_GB2312" w:eastAsia="仿宋_GB2312"/>
                <w:sz w:val="24"/>
              </w:rPr>
              <w:t>）；《关于建筑施工安全生产责任保险费用计价的通知》（陕建发〔</w:t>
            </w:r>
            <w:r>
              <w:rPr>
                <w:rFonts w:ascii="仿宋_GB2312" w:hAnsi="仿宋_GB2312" w:cs="仿宋_GB2312" w:eastAsia="仿宋_GB2312"/>
                <w:sz w:val="24"/>
              </w:rPr>
              <w:t>2020〕1097号）；《关于全省统一停止收缴建筑业劳保费用的通知》（陕建发﹝2021﹞1021号）；</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、正常施工组织设计及施工方法；</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、与建设工程项目有关的标准、规范、图集、技术资料；</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、磋商文件；</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、材料价格参照《陕西工程造价管理信息（材料信息价）》</w:t>
            </w:r>
            <w:r>
              <w:rPr>
                <w:rFonts w:ascii="仿宋_GB2312" w:hAnsi="仿宋_GB2312" w:cs="仿宋_GB2312" w:eastAsia="仿宋_GB2312"/>
                <w:sz w:val="24"/>
              </w:rPr>
              <w:t>2025</w:t>
            </w:r>
            <w:r>
              <w:rPr>
                <w:rFonts w:ascii="仿宋_GB2312" w:hAnsi="仿宋_GB2312" w:cs="仿宋_GB2312" w:eastAsia="仿宋_GB2312"/>
                <w:sz w:val="24"/>
              </w:rPr>
              <w:t>年第</w:t>
            </w:r>
            <w:r>
              <w:rPr>
                <w:rFonts w:ascii="仿宋_GB2312" w:hAnsi="仿宋_GB2312" w:cs="仿宋_GB2312" w:eastAsia="仿宋_GB2312"/>
                <w:sz w:val="24"/>
              </w:rPr>
              <w:t>5</w:t>
            </w:r>
            <w:r>
              <w:rPr>
                <w:rFonts w:ascii="仿宋_GB2312" w:hAnsi="仿宋_GB2312" w:cs="仿宋_GB2312" w:eastAsia="仿宋_GB2312"/>
                <w:sz w:val="24"/>
              </w:rPr>
              <w:t>期</w:t>
            </w:r>
            <w:r>
              <w:rPr>
                <w:rFonts w:ascii="仿宋_GB2312" w:hAnsi="仿宋_GB2312" w:cs="仿宋_GB2312" w:eastAsia="仿宋_GB2312"/>
                <w:sz w:val="24"/>
              </w:rPr>
              <w:t>及</w:t>
            </w:r>
            <w:r>
              <w:rPr>
                <w:rFonts w:ascii="仿宋_GB2312" w:hAnsi="仿宋_GB2312" w:cs="仿宋_GB2312" w:eastAsia="仿宋_GB2312"/>
                <w:sz w:val="24"/>
              </w:rPr>
              <w:t>市场价计入。</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、本工程量清单所提供工程项目特征仅表达了主要工程做法，组价时应依据</w:t>
            </w:r>
            <w:r>
              <w:rPr>
                <w:rFonts w:ascii="仿宋_GB2312" w:hAnsi="仿宋_GB2312" w:cs="仿宋_GB2312" w:eastAsia="仿宋_GB2312"/>
                <w:sz w:val="24"/>
              </w:rPr>
              <w:t>现场实际</w:t>
            </w:r>
            <w:r>
              <w:rPr>
                <w:rFonts w:ascii="仿宋_GB2312" w:hAnsi="仿宋_GB2312" w:cs="仿宋_GB2312" w:eastAsia="仿宋_GB2312"/>
                <w:sz w:val="24"/>
              </w:rPr>
              <w:t>、相关图集，结合磋商文件，合同条款，技术规范、图纸、答疑纪要等进行组价。</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本工程量清单采用广联达云计价平台</w:t>
            </w:r>
            <w:r>
              <w:rPr>
                <w:rFonts w:ascii="仿宋_GB2312" w:hAnsi="仿宋_GB2312" w:cs="仿宋_GB2312" w:eastAsia="仿宋_GB2312"/>
                <w:sz w:val="24"/>
              </w:rPr>
              <w:t>GCCP</w:t>
            </w:r>
            <w:r>
              <w:rPr>
                <w:rFonts w:ascii="仿宋_GB2312" w:hAnsi="仿宋_GB2312" w:cs="仿宋_GB2312" w:eastAsia="仿宋_GB2312"/>
                <w:sz w:val="24"/>
              </w:rPr>
              <w:t>7</w:t>
            </w:r>
            <w:r>
              <w:rPr>
                <w:rFonts w:ascii="仿宋_GB2312" w:hAnsi="仿宋_GB2312" w:cs="仿宋_GB2312" w:eastAsia="仿宋_GB2312"/>
                <w:sz w:val="24"/>
              </w:rPr>
              <w:t>.0（</w:t>
            </w:r>
            <w:r>
              <w:rPr>
                <w:rFonts w:ascii="仿宋_GB2312" w:hAnsi="仿宋_GB2312" w:cs="仿宋_GB2312" w:eastAsia="仿宋_GB2312"/>
                <w:sz w:val="24"/>
              </w:rPr>
              <w:t>7.5000.23.1</w:t>
            </w:r>
            <w:r>
              <w:rPr>
                <w:rFonts w:ascii="仿宋_GB2312" w:hAnsi="仿宋_GB2312" w:cs="仿宋_GB2312" w:eastAsia="仿宋_GB2312"/>
                <w:sz w:val="24"/>
              </w:rPr>
              <w:t>版本）编制。</w:t>
            </w:r>
          </w:p>
          <w:p>
            <w:pPr>
              <w:pStyle w:val="null3"/>
              <w:ind w:firstLine="480"/>
              <w:jc w:val="both"/>
            </w:pPr>
            <w:r>
              <w:rPr>
                <w:rFonts w:ascii="仿宋_GB2312" w:hAnsi="仿宋_GB2312" w:cs="仿宋_GB2312" w:eastAsia="仿宋_GB2312"/>
                <w:sz w:val="24"/>
                <w:b/>
                <w:color w:val="000000"/>
              </w:rPr>
              <w:t>四、工程量清单</w:t>
            </w:r>
          </w:p>
          <w:p>
            <w:pPr>
              <w:pStyle w:val="null3"/>
              <w:ind w:firstLine="480"/>
              <w:jc w:val="both"/>
            </w:pPr>
            <w:r>
              <w:rPr>
                <w:rFonts w:ascii="仿宋_GB2312" w:hAnsi="仿宋_GB2312" w:cs="仿宋_GB2312" w:eastAsia="仿宋_GB2312"/>
                <w:sz w:val="24"/>
                <w:color w:val="000000"/>
              </w:rPr>
              <w:t>详见附件。</w:t>
            </w:r>
          </w:p>
          <w:p>
            <w:pPr>
              <w:pStyle w:val="null3"/>
              <w:ind w:firstLine="480"/>
              <w:jc w:val="both"/>
            </w:pPr>
            <w:r>
              <w:rPr>
                <w:rFonts w:ascii="仿宋_GB2312" w:hAnsi="仿宋_GB2312" w:cs="仿宋_GB2312" w:eastAsia="仿宋_GB2312"/>
                <w:sz w:val="24"/>
                <w:b/>
                <w:color w:val="000000"/>
              </w:rPr>
              <w:t>五、商务要求</w:t>
            </w:r>
          </w:p>
          <w:p>
            <w:pPr>
              <w:pStyle w:val="null3"/>
              <w:ind w:firstLine="480"/>
              <w:jc w:val="both"/>
            </w:pPr>
            <w:r>
              <w:rPr>
                <w:rFonts w:ascii="仿宋_GB2312" w:hAnsi="仿宋_GB2312" w:cs="仿宋_GB2312" w:eastAsia="仿宋_GB2312"/>
                <w:sz w:val="24"/>
                <w:color w:val="000000"/>
              </w:rPr>
              <w:t>工期：</w:t>
            </w:r>
            <w:r>
              <w:rPr>
                <w:rFonts w:ascii="仿宋_GB2312" w:hAnsi="仿宋_GB2312" w:cs="仿宋_GB2312" w:eastAsia="仿宋_GB2312"/>
                <w:sz w:val="24"/>
                <w:color w:val="000000"/>
              </w:rPr>
              <w:t>21日历天</w:t>
            </w:r>
          </w:p>
          <w:p>
            <w:pPr>
              <w:pStyle w:val="null3"/>
              <w:ind w:firstLine="480"/>
              <w:jc w:val="both"/>
            </w:pPr>
            <w:r>
              <w:rPr>
                <w:rFonts w:ascii="仿宋_GB2312" w:hAnsi="仿宋_GB2312" w:cs="仿宋_GB2312" w:eastAsia="仿宋_GB2312"/>
                <w:sz w:val="24"/>
                <w:color w:val="000000"/>
              </w:rPr>
              <w:t>质保期：</w:t>
            </w:r>
            <w:r>
              <w:rPr>
                <w:rFonts w:ascii="仿宋_GB2312" w:hAnsi="仿宋_GB2312" w:cs="仿宋_GB2312" w:eastAsia="仿宋_GB2312"/>
                <w:sz w:val="24"/>
                <w:color w:val="000000"/>
              </w:rPr>
              <w:t>2年</w:t>
            </w:r>
          </w:p>
          <w:p>
            <w:pPr>
              <w:pStyle w:val="null3"/>
              <w:ind w:firstLine="480"/>
              <w:jc w:val="both"/>
            </w:pPr>
            <w:r>
              <w:rPr>
                <w:rFonts w:ascii="仿宋_GB2312" w:hAnsi="仿宋_GB2312" w:cs="仿宋_GB2312" w:eastAsia="仿宋_GB2312"/>
                <w:sz w:val="24"/>
                <w:color w:val="000000"/>
              </w:rPr>
              <w:t>合同价款支付方式：</w:t>
            </w:r>
          </w:p>
          <w:p>
            <w:pPr>
              <w:pStyle w:val="null3"/>
              <w:ind w:firstLine="480"/>
              <w:jc w:val="both"/>
            </w:pPr>
            <w:r>
              <w:rPr>
                <w:rFonts w:ascii="仿宋_GB2312" w:hAnsi="仿宋_GB2312" w:cs="仿宋_GB2312" w:eastAsia="仿宋_GB2312"/>
                <w:sz w:val="24"/>
                <w:color w:val="000000"/>
              </w:rPr>
              <w:t>1、结算单位：采购人结算，在付款前必须开具等额发票给采购人。</w:t>
            </w:r>
          </w:p>
          <w:p>
            <w:pPr>
              <w:pStyle w:val="null3"/>
              <w:ind w:firstLine="480"/>
              <w:jc w:val="both"/>
            </w:pPr>
            <w:r>
              <w:rPr>
                <w:rFonts w:ascii="仿宋_GB2312" w:hAnsi="仿宋_GB2312" w:cs="仿宋_GB2312" w:eastAsia="仿宋_GB2312"/>
                <w:sz w:val="24"/>
                <w:color w:val="000000"/>
              </w:rPr>
              <w:t>2、付款方式</w:t>
            </w:r>
          </w:p>
          <w:p>
            <w:pPr>
              <w:pStyle w:val="null3"/>
              <w:ind w:firstLine="480"/>
              <w:jc w:val="both"/>
            </w:pPr>
            <w:r>
              <w:rPr>
                <w:rFonts w:ascii="仿宋_GB2312" w:hAnsi="仿宋_GB2312" w:cs="仿宋_GB2312" w:eastAsia="仿宋_GB2312"/>
                <w:sz w:val="24"/>
                <w:color w:val="000000"/>
              </w:rPr>
              <w:t>2.1成交供应商在采购合同签订前5个工作日内，向采购人缴纳合同总价5%的履约保证金；</w:t>
            </w:r>
          </w:p>
          <w:p>
            <w:pPr>
              <w:pStyle w:val="null3"/>
              <w:ind w:firstLine="480"/>
              <w:jc w:val="both"/>
            </w:pPr>
            <w:r>
              <w:rPr>
                <w:rFonts w:ascii="仿宋_GB2312" w:hAnsi="仿宋_GB2312" w:cs="仿宋_GB2312" w:eastAsia="仿宋_GB2312"/>
                <w:sz w:val="24"/>
                <w:color w:val="000000"/>
              </w:rPr>
              <w:t>2.2合同签订后，采购人向成交供应商支付合同总价的40%预付款，预付款支付前成交供应商须提供项目等额预付款保函；（该阶段支付仅面对中小企业供应商）；</w:t>
            </w:r>
          </w:p>
          <w:p>
            <w:pPr>
              <w:pStyle w:val="null3"/>
              <w:ind w:firstLine="480"/>
              <w:jc w:val="both"/>
            </w:pPr>
            <w:r>
              <w:rPr>
                <w:rFonts w:ascii="仿宋_GB2312" w:hAnsi="仿宋_GB2312" w:cs="仿宋_GB2312" w:eastAsia="仿宋_GB2312"/>
                <w:sz w:val="24"/>
                <w:color w:val="000000"/>
              </w:rPr>
              <w:t>2.3工程竣工初验合格后10日，采购人向成交供应商支付至合同总价的70％；</w:t>
            </w:r>
          </w:p>
          <w:p>
            <w:pPr>
              <w:pStyle w:val="null3"/>
              <w:ind w:firstLine="480"/>
              <w:jc w:val="both"/>
            </w:pPr>
            <w:r>
              <w:rPr>
                <w:rFonts w:ascii="仿宋_GB2312" w:hAnsi="仿宋_GB2312" w:cs="仿宋_GB2312" w:eastAsia="仿宋_GB2312"/>
                <w:sz w:val="24"/>
                <w:color w:val="000000"/>
              </w:rPr>
              <w:t>2.4工程终验合格后10日，由成交供应商书面递交工程完整资料报采购人开展审计，审计完成后六十日内，采购人支付至审计金额的100%；</w:t>
            </w:r>
          </w:p>
          <w:p>
            <w:pPr>
              <w:pStyle w:val="null3"/>
              <w:ind w:firstLine="480"/>
              <w:jc w:val="both"/>
            </w:pPr>
            <w:r>
              <w:rPr>
                <w:rFonts w:ascii="仿宋_GB2312" w:hAnsi="仿宋_GB2312" w:cs="仿宋_GB2312" w:eastAsia="仿宋_GB2312"/>
                <w:sz w:val="24"/>
                <w:color w:val="000000"/>
              </w:rPr>
              <w:t>2.5合同如期履约完成且保修期届满，采购人扣除相关费用后，采购人免息原缴费账户退还履约保证金余额。</w:t>
            </w:r>
          </w:p>
          <w:p>
            <w:pPr>
              <w:pStyle w:val="null3"/>
              <w:ind w:firstLine="480"/>
              <w:jc w:val="both"/>
            </w:pPr>
            <w:r>
              <w:rPr>
                <w:rFonts w:ascii="仿宋_GB2312" w:hAnsi="仿宋_GB2312" w:cs="仿宋_GB2312" w:eastAsia="仿宋_GB2312"/>
                <w:sz w:val="24"/>
                <w:color w:val="000000"/>
              </w:rPr>
              <w:t>2.6采购人应支付的一切款项及应承担的责任均包含在最终审计金额内，之外再无其他款项。</w:t>
            </w:r>
          </w:p>
          <w:p>
            <w:pPr>
              <w:pStyle w:val="null3"/>
              <w:ind w:firstLine="480"/>
              <w:jc w:val="both"/>
            </w:pPr>
            <w:r>
              <w:rPr>
                <w:rFonts w:ascii="仿宋_GB2312" w:hAnsi="仿宋_GB2312" w:cs="仿宋_GB2312" w:eastAsia="仿宋_GB2312"/>
                <w:sz w:val="24"/>
                <w:color w:val="000000"/>
              </w:rPr>
              <w:t>2.7成交供应商应当在采购人支付每笔工程款之前向采购人开具等额合法有效且符合甲方要求的增值税发票，否则采购人有权拒绝支付工程款且不承担任何违约责任。</w:t>
            </w:r>
          </w:p>
          <w:p>
            <w:pPr>
              <w:pStyle w:val="null3"/>
              <w:ind w:firstLine="480"/>
              <w:jc w:val="both"/>
            </w:pPr>
            <w:r>
              <w:rPr>
                <w:rFonts w:ascii="仿宋_GB2312" w:hAnsi="仿宋_GB2312" w:cs="仿宋_GB2312" w:eastAsia="仿宋_GB2312"/>
                <w:sz w:val="24"/>
                <w:color w:val="000000"/>
              </w:rPr>
              <w:t>2.8合同价款支付最终结算以采购人审定金额为准。审减率超过8%的，由成交供应商承担该工程全部审计费用；审减率低于8%（含）的，由采购人承担该工程全部审计费用。</w:t>
            </w:r>
          </w:p>
          <w:p>
            <w:pPr>
              <w:pStyle w:val="null3"/>
              <w:ind w:firstLine="480"/>
              <w:jc w:val="both"/>
            </w:pPr>
            <w:r>
              <w:rPr>
                <w:rFonts w:ascii="仿宋_GB2312" w:hAnsi="仿宋_GB2312" w:cs="仿宋_GB2312" w:eastAsia="仿宋_GB2312"/>
                <w:sz w:val="24"/>
                <w:color w:val="000000"/>
              </w:rPr>
              <w:t>2.9.水电费的收取结算按照学校规定执行。</w:t>
            </w:r>
          </w:p>
          <w:p>
            <w:pPr>
              <w:pStyle w:val="null3"/>
              <w:ind w:firstLine="480"/>
              <w:jc w:val="both"/>
            </w:pPr>
            <w:r>
              <w:rPr>
                <w:rFonts w:ascii="仿宋_GB2312" w:hAnsi="仿宋_GB2312" w:cs="仿宋_GB2312" w:eastAsia="仿宋_GB2312"/>
                <w:sz w:val="24"/>
                <w:b/>
                <w:color w:val="000000"/>
              </w:rPr>
              <w:t>六、技术要求</w:t>
            </w:r>
          </w:p>
          <w:p>
            <w:pPr>
              <w:pStyle w:val="null3"/>
              <w:ind w:firstLine="480"/>
              <w:jc w:val="both"/>
            </w:pPr>
            <w:r>
              <w:rPr>
                <w:rFonts w:ascii="仿宋_GB2312" w:hAnsi="仿宋_GB2312" w:cs="仿宋_GB2312" w:eastAsia="仿宋_GB2312"/>
                <w:sz w:val="24"/>
                <w:color w:val="000000"/>
              </w:rPr>
              <w:t>工程须达到国家及行业现行技术规范标准，符合国家及行业验收</w:t>
            </w:r>
            <w:r>
              <w:rPr>
                <w:rFonts w:ascii="仿宋_GB2312" w:hAnsi="仿宋_GB2312" w:cs="仿宋_GB2312" w:eastAsia="仿宋_GB2312"/>
                <w:sz w:val="24"/>
                <w:color w:val="000000"/>
              </w:rPr>
              <w:t>合格标准。床体、灯具等设备保护，不得挪动床体。</w:t>
            </w:r>
          </w:p>
          <w:p>
            <w:pPr>
              <w:pStyle w:val="null3"/>
              <w:ind w:firstLine="480"/>
              <w:jc w:val="both"/>
            </w:pPr>
            <w:r>
              <w:rPr>
                <w:rFonts w:ascii="仿宋_GB2312" w:hAnsi="仿宋_GB2312" w:cs="仿宋_GB2312" w:eastAsia="仿宋_GB2312"/>
                <w:sz w:val="24"/>
                <w:color w:val="000000"/>
              </w:rPr>
              <w:t>质量：符合国家工程质量验收合格标准。</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标的名称：西安工业大学未央校区2025年毕业生房间粉刷2包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4"/>
                <w:b/>
                <w:color w:val="000000"/>
              </w:rPr>
              <w:t>一、项目概况</w:t>
            </w:r>
          </w:p>
          <w:p>
            <w:pPr>
              <w:pStyle w:val="null3"/>
              <w:ind w:firstLine="480"/>
              <w:jc w:val="both"/>
            </w:pPr>
            <w:r>
              <w:rPr>
                <w:rFonts w:ascii="仿宋_GB2312" w:hAnsi="仿宋_GB2312" w:cs="仿宋_GB2312" w:eastAsia="仿宋_GB2312"/>
                <w:sz w:val="24"/>
                <w:color w:val="000000"/>
              </w:rPr>
              <w:t>1.建设地点：本项目位于西安工业大学未央校区</w:t>
            </w:r>
          </w:p>
          <w:p>
            <w:pPr>
              <w:pStyle w:val="null3"/>
              <w:ind w:firstLine="480"/>
              <w:jc w:val="both"/>
            </w:pPr>
            <w:r>
              <w:rPr>
                <w:rFonts w:ascii="仿宋_GB2312" w:hAnsi="仿宋_GB2312" w:cs="仿宋_GB2312" w:eastAsia="仿宋_GB2312"/>
                <w:sz w:val="24"/>
                <w:color w:val="000000"/>
              </w:rPr>
              <w:t>2.建设内容：具体内容见工程量清单。</w:t>
            </w:r>
          </w:p>
          <w:p>
            <w:pPr>
              <w:pStyle w:val="null3"/>
              <w:ind w:firstLine="480"/>
              <w:jc w:val="both"/>
            </w:pPr>
            <w:r>
              <w:rPr>
                <w:rFonts w:ascii="仿宋_GB2312" w:hAnsi="仿宋_GB2312" w:cs="仿宋_GB2312" w:eastAsia="仿宋_GB2312"/>
                <w:sz w:val="24"/>
                <w:color w:val="000000"/>
              </w:rPr>
              <w:t>3.其它要求:①施工中的工艺工序及结果，达到GB50210-2018验收标准和国家与行业现行技术规范标准。②满足建设单位施工现场的需求。</w:t>
            </w:r>
          </w:p>
          <w:p>
            <w:pPr>
              <w:pStyle w:val="null3"/>
              <w:ind w:firstLine="480"/>
              <w:jc w:val="both"/>
            </w:pPr>
            <w:r>
              <w:rPr>
                <w:rFonts w:ascii="仿宋_GB2312" w:hAnsi="仿宋_GB2312" w:cs="仿宋_GB2312" w:eastAsia="仿宋_GB2312"/>
                <w:sz w:val="24"/>
                <w:b/>
                <w:color w:val="000000"/>
              </w:rPr>
              <w:t>二、项目最高限价：</w:t>
            </w:r>
            <w:r>
              <w:rPr>
                <w:rFonts w:ascii="仿宋_GB2312" w:hAnsi="仿宋_GB2312" w:cs="仿宋_GB2312" w:eastAsia="仿宋_GB2312"/>
                <w:sz w:val="24"/>
                <w:color w:val="000000"/>
              </w:rPr>
              <w:t>573,640.47</w:t>
            </w:r>
            <w:r>
              <w:rPr>
                <w:rFonts w:ascii="仿宋_GB2312" w:hAnsi="仿宋_GB2312" w:cs="仿宋_GB2312" w:eastAsia="仿宋_GB2312"/>
                <w:sz w:val="24"/>
                <w:color w:val="000000"/>
              </w:rPr>
              <w:t>元</w:t>
            </w:r>
          </w:p>
          <w:p>
            <w:pPr>
              <w:pStyle w:val="null3"/>
              <w:ind w:firstLine="480"/>
              <w:jc w:val="both"/>
            </w:pPr>
            <w:r>
              <w:rPr>
                <w:rFonts w:ascii="仿宋_GB2312" w:hAnsi="仿宋_GB2312" w:cs="仿宋_GB2312" w:eastAsia="仿宋_GB2312"/>
                <w:sz w:val="24"/>
                <w:b/>
                <w:color w:val="000000"/>
              </w:rPr>
              <w:t>三、编制依据</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陕西省建设工程工程量清单计价计算标准</w:t>
            </w:r>
            <w:r>
              <w:rPr>
                <w:rFonts w:ascii="仿宋_GB2312" w:hAnsi="仿宋_GB2312" w:cs="仿宋_GB2312" w:eastAsia="仿宋_GB2312"/>
                <w:sz w:val="24"/>
              </w:rPr>
              <w:t>》（</w:t>
            </w:r>
            <w:r>
              <w:rPr>
                <w:rFonts w:ascii="仿宋_GB2312" w:hAnsi="仿宋_GB2312" w:cs="仿宋_GB2312" w:eastAsia="仿宋_GB2312"/>
                <w:sz w:val="24"/>
              </w:rPr>
              <w:t>2025</w:t>
            </w:r>
            <w:r>
              <w:rPr>
                <w:rFonts w:ascii="仿宋_GB2312" w:hAnsi="仿宋_GB2312" w:cs="仿宋_GB2312" w:eastAsia="仿宋_GB2312"/>
                <w:sz w:val="24"/>
              </w:rPr>
              <w:t>）、</w:t>
            </w:r>
            <w:r>
              <w:rPr>
                <w:rFonts w:ascii="仿宋_GB2312" w:hAnsi="仿宋_GB2312" w:cs="仿宋_GB2312" w:eastAsia="仿宋_GB2312"/>
                <w:sz w:val="24"/>
              </w:rPr>
              <w:t>《陕西省建设工程</w:t>
            </w:r>
            <w:r>
              <w:rPr>
                <w:rFonts w:ascii="仿宋_GB2312" w:hAnsi="仿宋_GB2312" w:cs="仿宋_GB2312" w:eastAsia="仿宋_GB2312"/>
                <w:sz w:val="24"/>
              </w:rPr>
              <w:t>费用</w:t>
            </w:r>
            <w:r>
              <w:rPr>
                <w:rFonts w:ascii="仿宋_GB2312" w:hAnsi="仿宋_GB2312" w:cs="仿宋_GB2312" w:eastAsia="仿宋_GB2312"/>
                <w:sz w:val="24"/>
              </w:rPr>
              <w:t>规则》（</w:t>
            </w:r>
            <w:r>
              <w:rPr>
                <w:rFonts w:ascii="仿宋_GB2312" w:hAnsi="仿宋_GB2312" w:cs="仿宋_GB2312" w:eastAsia="仿宋_GB2312"/>
                <w:sz w:val="24"/>
              </w:rPr>
              <w:t>20</w:t>
            </w:r>
            <w:r>
              <w:rPr>
                <w:rFonts w:ascii="仿宋_GB2312" w:hAnsi="仿宋_GB2312" w:cs="仿宋_GB2312" w:eastAsia="仿宋_GB2312"/>
                <w:sz w:val="24"/>
              </w:rPr>
              <w:t>25</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陕西省</w:t>
            </w:r>
            <w:r>
              <w:rPr>
                <w:rFonts w:ascii="仿宋_GB2312" w:hAnsi="仿宋_GB2312" w:cs="仿宋_GB2312" w:eastAsia="仿宋_GB2312"/>
                <w:sz w:val="24"/>
              </w:rPr>
              <w:t>房屋建筑与装饰</w:t>
            </w:r>
            <w:r>
              <w:rPr>
                <w:rFonts w:ascii="仿宋_GB2312" w:hAnsi="仿宋_GB2312" w:cs="仿宋_GB2312" w:eastAsia="仿宋_GB2312"/>
                <w:sz w:val="24"/>
              </w:rPr>
              <w:t>消耗量定额》（</w:t>
            </w:r>
            <w:r>
              <w:rPr>
                <w:rFonts w:ascii="仿宋_GB2312" w:hAnsi="仿宋_GB2312" w:cs="仿宋_GB2312" w:eastAsia="仿宋_GB2312"/>
                <w:sz w:val="24"/>
              </w:rPr>
              <w:t>20</w:t>
            </w:r>
            <w:r>
              <w:rPr>
                <w:rFonts w:ascii="仿宋_GB2312" w:hAnsi="仿宋_GB2312" w:cs="仿宋_GB2312" w:eastAsia="仿宋_GB2312"/>
                <w:sz w:val="24"/>
              </w:rPr>
              <w:t>25</w:t>
            </w:r>
            <w:r>
              <w:rPr>
                <w:rFonts w:ascii="仿宋_GB2312" w:hAnsi="仿宋_GB2312" w:cs="仿宋_GB2312" w:eastAsia="仿宋_GB2312"/>
                <w:sz w:val="24"/>
              </w:rPr>
              <w:t>）《</w:t>
            </w:r>
            <w:r>
              <w:rPr>
                <w:rFonts w:ascii="仿宋_GB2312" w:hAnsi="仿宋_GB2312" w:cs="仿宋_GB2312" w:eastAsia="仿宋_GB2312"/>
                <w:sz w:val="24"/>
              </w:rPr>
              <w:t>陕西省</w:t>
            </w:r>
            <w:r>
              <w:rPr>
                <w:rFonts w:ascii="仿宋_GB2312" w:hAnsi="仿宋_GB2312" w:cs="仿宋_GB2312" w:eastAsia="仿宋_GB2312"/>
                <w:sz w:val="24"/>
              </w:rPr>
              <w:t>通用安装工程</w:t>
            </w:r>
            <w:r>
              <w:rPr>
                <w:rFonts w:ascii="仿宋_GB2312" w:hAnsi="仿宋_GB2312" w:cs="仿宋_GB2312" w:eastAsia="仿宋_GB2312"/>
                <w:sz w:val="24"/>
              </w:rPr>
              <w:t>消耗量定额》（</w:t>
            </w:r>
            <w:r>
              <w:rPr>
                <w:rFonts w:ascii="仿宋_GB2312" w:hAnsi="仿宋_GB2312" w:cs="仿宋_GB2312" w:eastAsia="仿宋_GB2312"/>
                <w:sz w:val="24"/>
              </w:rPr>
              <w:t>20</w:t>
            </w:r>
            <w:r>
              <w:rPr>
                <w:rFonts w:ascii="仿宋_GB2312" w:hAnsi="仿宋_GB2312" w:cs="仿宋_GB2312" w:eastAsia="仿宋_GB2312"/>
                <w:sz w:val="24"/>
              </w:rPr>
              <w:t>25</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陕西省</w:t>
            </w:r>
            <w:r>
              <w:rPr>
                <w:rFonts w:ascii="仿宋_GB2312" w:hAnsi="仿宋_GB2312" w:cs="仿宋_GB2312" w:eastAsia="仿宋_GB2312"/>
                <w:sz w:val="24"/>
              </w:rPr>
              <w:t>市政工程</w:t>
            </w:r>
            <w:r>
              <w:rPr>
                <w:rFonts w:ascii="仿宋_GB2312" w:hAnsi="仿宋_GB2312" w:cs="仿宋_GB2312" w:eastAsia="仿宋_GB2312"/>
                <w:sz w:val="24"/>
              </w:rPr>
              <w:t>消耗量定额》（</w:t>
            </w:r>
            <w:r>
              <w:rPr>
                <w:rFonts w:ascii="仿宋_GB2312" w:hAnsi="仿宋_GB2312" w:cs="仿宋_GB2312" w:eastAsia="仿宋_GB2312"/>
                <w:sz w:val="24"/>
              </w:rPr>
              <w:t>20</w:t>
            </w:r>
            <w:r>
              <w:rPr>
                <w:rFonts w:ascii="仿宋_GB2312" w:hAnsi="仿宋_GB2312" w:cs="仿宋_GB2312" w:eastAsia="仿宋_GB2312"/>
                <w:sz w:val="24"/>
              </w:rPr>
              <w:t>25</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陕西省</w:t>
            </w:r>
            <w:r>
              <w:rPr>
                <w:rFonts w:ascii="仿宋_GB2312" w:hAnsi="仿宋_GB2312" w:cs="仿宋_GB2312" w:eastAsia="仿宋_GB2312"/>
                <w:sz w:val="24"/>
              </w:rPr>
              <w:t>园林绿化工程</w:t>
            </w:r>
            <w:r>
              <w:rPr>
                <w:rFonts w:ascii="仿宋_GB2312" w:hAnsi="仿宋_GB2312" w:cs="仿宋_GB2312" w:eastAsia="仿宋_GB2312"/>
                <w:sz w:val="24"/>
              </w:rPr>
              <w:t>消耗量定额》（</w:t>
            </w:r>
            <w:r>
              <w:rPr>
                <w:rFonts w:ascii="仿宋_GB2312" w:hAnsi="仿宋_GB2312" w:cs="仿宋_GB2312" w:eastAsia="仿宋_GB2312"/>
                <w:sz w:val="24"/>
              </w:rPr>
              <w:t>20</w:t>
            </w:r>
            <w:r>
              <w:rPr>
                <w:rFonts w:ascii="仿宋_GB2312" w:hAnsi="仿宋_GB2312" w:cs="仿宋_GB2312" w:eastAsia="仿宋_GB2312"/>
                <w:sz w:val="24"/>
              </w:rPr>
              <w:t>25</w:t>
            </w:r>
            <w:r>
              <w:rPr>
                <w:rFonts w:ascii="仿宋_GB2312" w:hAnsi="仿宋_GB2312" w:cs="仿宋_GB2312" w:eastAsia="仿宋_GB2312"/>
                <w:sz w:val="24"/>
              </w:rPr>
              <w:t>）、</w:t>
            </w:r>
            <w:r>
              <w:rPr>
                <w:rFonts w:ascii="仿宋_GB2312" w:hAnsi="仿宋_GB2312" w:cs="仿宋_GB2312" w:eastAsia="仿宋_GB2312"/>
                <w:sz w:val="24"/>
              </w:rPr>
              <w:t>《陕西省</w:t>
            </w:r>
            <w:r>
              <w:rPr>
                <w:rFonts w:ascii="仿宋_GB2312" w:hAnsi="仿宋_GB2312" w:cs="仿宋_GB2312" w:eastAsia="仿宋_GB2312"/>
                <w:sz w:val="24"/>
              </w:rPr>
              <w:t>房屋建筑与装饰基价表</w:t>
            </w:r>
            <w:r>
              <w:rPr>
                <w:rFonts w:ascii="仿宋_GB2312" w:hAnsi="仿宋_GB2312" w:cs="仿宋_GB2312" w:eastAsia="仿宋_GB2312"/>
                <w:sz w:val="24"/>
              </w:rPr>
              <w:t>》（</w:t>
            </w:r>
            <w:r>
              <w:rPr>
                <w:rFonts w:ascii="仿宋_GB2312" w:hAnsi="仿宋_GB2312" w:cs="仿宋_GB2312" w:eastAsia="仿宋_GB2312"/>
                <w:sz w:val="24"/>
              </w:rPr>
              <w:t>20</w:t>
            </w:r>
            <w:r>
              <w:rPr>
                <w:rFonts w:ascii="仿宋_GB2312" w:hAnsi="仿宋_GB2312" w:cs="仿宋_GB2312" w:eastAsia="仿宋_GB2312"/>
                <w:sz w:val="24"/>
              </w:rPr>
              <w:t>25</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陕西省</w:t>
            </w:r>
            <w:r>
              <w:rPr>
                <w:rFonts w:ascii="仿宋_GB2312" w:hAnsi="仿宋_GB2312" w:cs="仿宋_GB2312" w:eastAsia="仿宋_GB2312"/>
                <w:sz w:val="24"/>
              </w:rPr>
              <w:t>通用安装工程基价表</w:t>
            </w:r>
            <w:r>
              <w:rPr>
                <w:rFonts w:ascii="仿宋_GB2312" w:hAnsi="仿宋_GB2312" w:cs="仿宋_GB2312" w:eastAsia="仿宋_GB2312"/>
                <w:sz w:val="24"/>
              </w:rPr>
              <w:t>》（</w:t>
            </w:r>
            <w:r>
              <w:rPr>
                <w:rFonts w:ascii="仿宋_GB2312" w:hAnsi="仿宋_GB2312" w:cs="仿宋_GB2312" w:eastAsia="仿宋_GB2312"/>
                <w:sz w:val="24"/>
              </w:rPr>
              <w:t>20</w:t>
            </w:r>
            <w:r>
              <w:rPr>
                <w:rFonts w:ascii="仿宋_GB2312" w:hAnsi="仿宋_GB2312" w:cs="仿宋_GB2312" w:eastAsia="仿宋_GB2312"/>
                <w:sz w:val="24"/>
              </w:rPr>
              <w:t>25</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陕西省</w:t>
            </w:r>
            <w:r>
              <w:rPr>
                <w:rFonts w:ascii="仿宋_GB2312" w:hAnsi="仿宋_GB2312" w:cs="仿宋_GB2312" w:eastAsia="仿宋_GB2312"/>
                <w:sz w:val="24"/>
              </w:rPr>
              <w:t>市政工程基价表</w:t>
            </w:r>
            <w:r>
              <w:rPr>
                <w:rFonts w:ascii="仿宋_GB2312" w:hAnsi="仿宋_GB2312" w:cs="仿宋_GB2312" w:eastAsia="仿宋_GB2312"/>
                <w:sz w:val="24"/>
              </w:rPr>
              <w:t>》（</w:t>
            </w:r>
            <w:r>
              <w:rPr>
                <w:rFonts w:ascii="仿宋_GB2312" w:hAnsi="仿宋_GB2312" w:cs="仿宋_GB2312" w:eastAsia="仿宋_GB2312"/>
                <w:sz w:val="24"/>
              </w:rPr>
              <w:t>20</w:t>
            </w:r>
            <w:r>
              <w:rPr>
                <w:rFonts w:ascii="仿宋_GB2312" w:hAnsi="仿宋_GB2312" w:cs="仿宋_GB2312" w:eastAsia="仿宋_GB2312"/>
                <w:sz w:val="24"/>
              </w:rPr>
              <w:t>25</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陕西省</w:t>
            </w:r>
            <w:r>
              <w:rPr>
                <w:rFonts w:ascii="仿宋_GB2312" w:hAnsi="仿宋_GB2312" w:cs="仿宋_GB2312" w:eastAsia="仿宋_GB2312"/>
                <w:sz w:val="24"/>
              </w:rPr>
              <w:t>园林绿化工程基价表</w:t>
            </w:r>
            <w:r>
              <w:rPr>
                <w:rFonts w:ascii="仿宋_GB2312" w:hAnsi="仿宋_GB2312" w:cs="仿宋_GB2312" w:eastAsia="仿宋_GB2312"/>
                <w:sz w:val="24"/>
              </w:rPr>
              <w:t>》（</w:t>
            </w:r>
            <w:r>
              <w:rPr>
                <w:rFonts w:ascii="仿宋_GB2312" w:hAnsi="仿宋_GB2312" w:cs="仿宋_GB2312" w:eastAsia="仿宋_GB2312"/>
                <w:sz w:val="24"/>
              </w:rPr>
              <w:t>20</w:t>
            </w:r>
            <w:r>
              <w:rPr>
                <w:rFonts w:ascii="仿宋_GB2312" w:hAnsi="仿宋_GB2312" w:cs="仿宋_GB2312" w:eastAsia="仿宋_GB2312"/>
                <w:sz w:val="24"/>
              </w:rPr>
              <w:t>25</w:t>
            </w:r>
            <w:r>
              <w:rPr>
                <w:rFonts w:ascii="仿宋_GB2312" w:hAnsi="仿宋_GB2312" w:cs="仿宋_GB2312" w:eastAsia="仿宋_GB2312"/>
                <w:sz w:val="24"/>
              </w:rPr>
              <w:t>）</w:t>
            </w:r>
            <w:r>
              <w:rPr>
                <w:rFonts w:ascii="仿宋_GB2312" w:hAnsi="仿宋_GB2312" w:cs="仿宋_GB2312" w:eastAsia="仿宋_GB2312"/>
                <w:sz w:val="24"/>
              </w:rPr>
              <w:t>等</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、《关于增加建设工程扬尘治理专项措施费及综合人工单价调整的通知》（陕建发</w:t>
            </w:r>
            <w:r>
              <w:rPr>
                <w:rFonts w:ascii="仿宋_GB2312" w:hAnsi="仿宋_GB2312" w:cs="仿宋_GB2312" w:eastAsia="仿宋_GB2312"/>
                <w:sz w:val="24"/>
              </w:rPr>
              <w:t>[2017]270号）；农民工实名制费率实行陕建发[2019]1246号文；《关于调整陕西省建设工程计价依据的通知》（陕建发〔2019〕45号），《关于调整房屋建筑和市政基础设施工程工程量清单计价综合人工单价的通知》（</w:t>
            </w:r>
            <w:r>
              <w:rPr>
                <w:rFonts w:ascii="仿宋_GB2312" w:hAnsi="仿宋_GB2312" w:cs="仿宋_GB2312" w:eastAsia="仿宋_GB2312"/>
                <w:sz w:val="24"/>
              </w:rPr>
              <w:t>陕建发〔</w:t>
            </w:r>
            <w:r>
              <w:rPr>
                <w:rFonts w:ascii="仿宋_GB2312" w:hAnsi="仿宋_GB2312" w:cs="仿宋_GB2312" w:eastAsia="仿宋_GB2312"/>
                <w:sz w:val="24"/>
              </w:rPr>
              <w:t>2021〕1097号</w:t>
            </w:r>
            <w:r>
              <w:rPr>
                <w:rFonts w:ascii="仿宋_GB2312" w:hAnsi="仿宋_GB2312" w:cs="仿宋_GB2312" w:eastAsia="仿宋_GB2312"/>
                <w:sz w:val="24"/>
              </w:rPr>
              <w:t>）；《关于建筑施工安全生产责任保险费用计价的通知》（陕建发〔</w:t>
            </w:r>
            <w:r>
              <w:rPr>
                <w:rFonts w:ascii="仿宋_GB2312" w:hAnsi="仿宋_GB2312" w:cs="仿宋_GB2312" w:eastAsia="仿宋_GB2312"/>
                <w:sz w:val="24"/>
              </w:rPr>
              <w:t>2020〕1097号）；《关于全省统一停止收缴建筑业劳保费用的通知》（陕建发﹝2021﹞1021号）；</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、正常施工组织设计及施工方法；</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、与建设工程项目有关的标准、规范、图集、技术资料；</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、磋商文件；</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、材料价格参照《陕西工程造价管理信息（材料信息价）》</w:t>
            </w:r>
            <w:r>
              <w:rPr>
                <w:rFonts w:ascii="仿宋_GB2312" w:hAnsi="仿宋_GB2312" w:cs="仿宋_GB2312" w:eastAsia="仿宋_GB2312"/>
                <w:sz w:val="24"/>
              </w:rPr>
              <w:t>2025</w:t>
            </w:r>
            <w:r>
              <w:rPr>
                <w:rFonts w:ascii="仿宋_GB2312" w:hAnsi="仿宋_GB2312" w:cs="仿宋_GB2312" w:eastAsia="仿宋_GB2312"/>
                <w:sz w:val="24"/>
              </w:rPr>
              <w:t>年第</w:t>
            </w:r>
            <w:r>
              <w:rPr>
                <w:rFonts w:ascii="仿宋_GB2312" w:hAnsi="仿宋_GB2312" w:cs="仿宋_GB2312" w:eastAsia="仿宋_GB2312"/>
                <w:sz w:val="24"/>
              </w:rPr>
              <w:t>5</w:t>
            </w:r>
            <w:r>
              <w:rPr>
                <w:rFonts w:ascii="仿宋_GB2312" w:hAnsi="仿宋_GB2312" w:cs="仿宋_GB2312" w:eastAsia="仿宋_GB2312"/>
                <w:sz w:val="24"/>
              </w:rPr>
              <w:t>期</w:t>
            </w:r>
            <w:r>
              <w:rPr>
                <w:rFonts w:ascii="仿宋_GB2312" w:hAnsi="仿宋_GB2312" w:cs="仿宋_GB2312" w:eastAsia="仿宋_GB2312"/>
                <w:sz w:val="24"/>
              </w:rPr>
              <w:t>及</w:t>
            </w:r>
            <w:r>
              <w:rPr>
                <w:rFonts w:ascii="仿宋_GB2312" w:hAnsi="仿宋_GB2312" w:cs="仿宋_GB2312" w:eastAsia="仿宋_GB2312"/>
                <w:sz w:val="24"/>
              </w:rPr>
              <w:t>市场价计入。</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、本工程量清单所提供工程项目特征仅表达了主要工程做法，组价时应依据</w:t>
            </w:r>
            <w:r>
              <w:rPr>
                <w:rFonts w:ascii="仿宋_GB2312" w:hAnsi="仿宋_GB2312" w:cs="仿宋_GB2312" w:eastAsia="仿宋_GB2312"/>
                <w:sz w:val="24"/>
              </w:rPr>
              <w:t>现场实际</w:t>
            </w:r>
            <w:r>
              <w:rPr>
                <w:rFonts w:ascii="仿宋_GB2312" w:hAnsi="仿宋_GB2312" w:cs="仿宋_GB2312" w:eastAsia="仿宋_GB2312"/>
                <w:sz w:val="24"/>
              </w:rPr>
              <w:t>、相关图集，结合磋商文件，合同条款，技术规范、图纸、答疑纪要等进行组价。</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本工程量清单采用广联达云计价平台</w:t>
            </w:r>
            <w:r>
              <w:rPr>
                <w:rFonts w:ascii="仿宋_GB2312" w:hAnsi="仿宋_GB2312" w:cs="仿宋_GB2312" w:eastAsia="仿宋_GB2312"/>
                <w:sz w:val="24"/>
              </w:rPr>
              <w:t>GCCP</w:t>
            </w:r>
            <w:r>
              <w:rPr>
                <w:rFonts w:ascii="仿宋_GB2312" w:hAnsi="仿宋_GB2312" w:cs="仿宋_GB2312" w:eastAsia="仿宋_GB2312"/>
                <w:sz w:val="24"/>
              </w:rPr>
              <w:t>7</w:t>
            </w:r>
            <w:r>
              <w:rPr>
                <w:rFonts w:ascii="仿宋_GB2312" w:hAnsi="仿宋_GB2312" w:cs="仿宋_GB2312" w:eastAsia="仿宋_GB2312"/>
                <w:sz w:val="24"/>
              </w:rPr>
              <w:t>.0（</w:t>
            </w:r>
            <w:r>
              <w:rPr>
                <w:rFonts w:ascii="仿宋_GB2312" w:hAnsi="仿宋_GB2312" w:cs="仿宋_GB2312" w:eastAsia="仿宋_GB2312"/>
                <w:sz w:val="24"/>
              </w:rPr>
              <w:t>7.5000.23.1</w:t>
            </w:r>
            <w:r>
              <w:rPr>
                <w:rFonts w:ascii="仿宋_GB2312" w:hAnsi="仿宋_GB2312" w:cs="仿宋_GB2312" w:eastAsia="仿宋_GB2312"/>
                <w:sz w:val="24"/>
              </w:rPr>
              <w:t>版本）编制。</w:t>
            </w:r>
          </w:p>
          <w:p>
            <w:pPr>
              <w:pStyle w:val="null3"/>
              <w:ind w:firstLine="480"/>
              <w:jc w:val="both"/>
            </w:pPr>
            <w:r>
              <w:rPr>
                <w:rFonts w:ascii="仿宋_GB2312" w:hAnsi="仿宋_GB2312" w:cs="仿宋_GB2312" w:eastAsia="仿宋_GB2312"/>
                <w:sz w:val="24"/>
                <w:b/>
                <w:color w:val="000000"/>
              </w:rPr>
              <w:t>四、工程量清单</w:t>
            </w:r>
          </w:p>
          <w:p>
            <w:pPr>
              <w:pStyle w:val="null3"/>
              <w:ind w:firstLine="480"/>
              <w:jc w:val="both"/>
            </w:pPr>
            <w:r>
              <w:rPr>
                <w:rFonts w:ascii="仿宋_GB2312" w:hAnsi="仿宋_GB2312" w:cs="仿宋_GB2312" w:eastAsia="仿宋_GB2312"/>
                <w:sz w:val="24"/>
                <w:color w:val="000000"/>
              </w:rPr>
              <w:t>详见附件。</w:t>
            </w:r>
          </w:p>
          <w:p>
            <w:pPr>
              <w:pStyle w:val="null3"/>
              <w:ind w:firstLine="480"/>
              <w:jc w:val="both"/>
            </w:pPr>
            <w:r>
              <w:rPr>
                <w:rFonts w:ascii="仿宋_GB2312" w:hAnsi="仿宋_GB2312" w:cs="仿宋_GB2312" w:eastAsia="仿宋_GB2312"/>
                <w:sz w:val="24"/>
                <w:b/>
                <w:color w:val="000000"/>
              </w:rPr>
              <w:t>五、商务要求</w:t>
            </w:r>
          </w:p>
          <w:p>
            <w:pPr>
              <w:pStyle w:val="null3"/>
              <w:ind w:firstLine="480"/>
              <w:jc w:val="both"/>
            </w:pPr>
            <w:r>
              <w:rPr>
                <w:rFonts w:ascii="仿宋_GB2312" w:hAnsi="仿宋_GB2312" w:cs="仿宋_GB2312" w:eastAsia="仿宋_GB2312"/>
                <w:sz w:val="24"/>
                <w:color w:val="000000"/>
              </w:rPr>
              <w:t>工期：</w:t>
            </w:r>
            <w:r>
              <w:rPr>
                <w:rFonts w:ascii="仿宋_GB2312" w:hAnsi="仿宋_GB2312" w:cs="仿宋_GB2312" w:eastAsia="仿宋_GB2312"/>
                <w:sz w:val="24"/>
                <w:color w:val="000000"/>
              </w:rPr>
              <w:t>21日历天</w:t>
            </w:r>
          </w:p>
          <w:p>
            <w:pPr>
              <w:pStyle w:val="null3"/>
              <w:ind w:firstLine="480"/>
              <w:jc w:val="both"/>
            </w:pPr>
            <w:r>
              <w:rPr>
                <w:rFonts w:ascii="仿宋_GB2312" w:hAnsi="仿宋_GB2312" w:cs="仿宋_GB2312" w:eastAsia="仿宋_GB2312"/>
                <w:sz w:val="24"/>
                <w:color w:val="000000"/>
              </w:rPr>
              <w:t>质保期：</w:t>
            </w:r>
            <w:r>
              <w:rPr>
                <w:rFonts w:ascii="仿宋_GB2312" w:hAnsi="仿宋_GB2312" w:cs="仿宋_GB2312" w:eastAsia="仿宋_GB2312"/>
                <w:sz w:val="24"/>
                <w:color w:val="000000"/>
              </w:rPr>
              <w:t>2</w:t>
            </w:r>
            <w:r>
              <w:rPr>
                <w:rFonts w:ascii="仿宋_GB2312" w:hAnsi="仿宋_GB2312" w:cs="仿宋_GB2312" w:eastAsia="仿宋_GB2312"/>
                <w:sz w:val="24"/>
                <w:color w:val="000000"/>
              </w:rPr>
              <w:t>年</w:t>
            </w:r>
          </w:p>
          <w:p>
            <w:pPr>
              <w:pStyle w:val="null3"/>
              <w:ind w:firstLine="480"/>
              <w:jc w:val="both"/>
            </w:pPr>
            <w:r>
              <w:rPr>
                <w:rFonts w:ascii="仿宋_GB2312" w:hAnsi="仿宋_GB2312" w:cs="仿宋_GB2312" w:eastAsia="仿宋_GB2312"/>
                <w:sz w:val="24"/>
                <w:color w:val="000000"/>
              </w:rPr>
              <w:t>合同价款支付方式：</w:t>
            </w:r>
          </w:p>
          <w:p>
            <w:pPr>
              <w:pStyle w:val="null3"/>
              <w:ind w:firstLine="480"/>
              <w:jc w:val="both"/>
            </w:pPr>
            <w:r>
              <w:rPr>
                <w:rFonts w:ascii="仿宋_GB2312" w:hAnsi="仿宋_GB2312" w:cs="仿宋_GB2312" w:eastAsia="仿宋_GB2312"/>
                <w:sz w:val="24"/>
                <w:color w:val="000000"/>
              </w:rPr>
              <w:t>1、结算单位：采购人结算，在付款前必须开具等额发票给采购人。</w:t>
            </w:r>
          </w:p>
          <w:p>
            <w:pPr>
              <w:pStyle w:val="null3"/>
              <w:ind w:firstLine="480"/>
            </w:pPr>
            <w:r>
              <w:rPr>
                <w:rFonts w:ascii="仿宋_GB2312" w:hAnsi="仿宋_GB2312" w:cs="仿宋_GB2312" w:eastAsia="仿宋_GB2312"/>
                <w:sz w:val="24"/>
                <w:color w:val="000000"/>
              </w:rPr>
              <w:t>2、付款方式</w:t>
            </w:r>
          </w:p>
          <w:p>
            <w:pPr>
              <w:pStyle w:val="null3"/>
              <w:ind w:firstLine="480"/>
              <w:jc w:val="both"/>
            </w:pPr>
            <w:r>
              <w:rPr>
                <w:rFonts w:ascii="仿宋_GB2312" w:hAnsi="仿宋_GB2312" w:cs="仿宋_GB2312" w:eastAsia="仿宋_GB2312"/>
                <w:sz w:val="24"/>
                <w:color w:val="000000"/>
              </w:rPr>
              <w:t>2.1成交供应商在采购合同签订前5个工作日内，向采购人缴纳合同总价5%的履约保证金；</w:t>
            </w:r>
          </w:p>
          <w:p>
            <w:pPr>
              <w:pStyle w:val="null3"/>
              <w:ind w:firstLine="480"/>
              <w:jc w:val="both"/>
            </w:pPr>
            <w:r>
              <w:rPr>
                <w:rFonts w:ascii="仿宋_GB2312" w:hAnsi="仿宋_GB2312" w:cs="仿宋_GB2312" w:eastAsia="仿宋_GB2312"/>
                <w:sz w:val="24"/>
                <w:color w:val="000000"/>
              </w:rPr>
              <w:t>2.2合同签订后，采购人向成交供应商支付合同总价的40%预付款，预付款支付前成交供应商须提供项目等额预付款保函；（该阶段支付仅面对中小企业供应商）；</w:t>
            </w:r>
          </w:p>
          <w:p>
            <w:pPr>
              <w:pStyle w:val="null3"/>
              <w:ind w:firstLine="480"/>
              <w:jc w:val="both"/>
            </w:pPr>
            <w:r>
              <w:rPr>
                <w:rFonts w:ascii="仿宋_GB2312" w:hAnsi="仿宋_GB2312" w:cs="仿宋_GB2312" w:eastAsia="仿宋_GB2312"/>
                <w:sz w:val="24"/>
                <w:color w:val="000000"/>
              </w:rPr>
              <w:t>2.3工程竣工初验合格后10日，采购人向成交供应商支付至合同总价的70％；</w:t>
            </w:r>
          </w:p>
          <w:p>
            <w:pPr>
              <w:pStyle w:val="null3"/>
              <w:ind w:firstLine="480"/>
              <w:jc w:val="both"/>
            </w:pPr>
            <w:r>
              <w:rPr>
                <w:rFonts w:ascii="仿宋_GB2312" w:hAnsi="仿宋_GB2312" w:cs="仿宋_GB2312" w:eastAsia="仿宋_GB2312"/>
                <w:sz w:val="24"/>
                <w:color w:val="000000"/>
              </w:rPr>
              <w:t>2.4工程终验合格后10日，由成交供应商书面递交工程完整资料报采购人开展审计，审计完成后六十日内，采购人支付至审计金额的100%；</w:t>
            </w:r>
          </w:p>
          <w:p>
            <w:pPr>
              <w:pStyle w:val="null3"/>
              <w:ind w:firstLine="480"/>
              <w:jc w:val="both"/>
            </w:pPr>
            <w:r>
              <w:rPr>
                <w:rFonts w:ascii="仿宋_GB2312" w:hAnsi="仿宋_GB2312" w:cs="仿宋_GB2312" w:eastAsia="仿宋_GB2312"/>
                <w:sz w:val="24"/>
                <w:color w:val="000000"/>
              </w:rPr>
              <w:t>2.5合同如期履约完成且保修期届满，采购人扣除相关费用后，采购人免息原缴费账户退还履约保证金余额。</w:t>
            </w:r>
          </w:p>
          <w:p>
            <w:pPr>
              <w:pStyle w:val="null3"/>
              <w:ind w:firstLine="480"/>
              <w:jc w:val="both"/>
            </w:pPr>
            <w:r>
              <w:rPr>
                <w:rFonts w:ascii="仿宋_GB2312" w:hAnsi="仿宋_GB2312" w:cs="仿宋_GB2312" w:eastAsia="仿宋_GB2312"/>
                <w:sz w:val="24"/>
                <w:color w:val="000000"/>
              </w:rPr>
              <w:t>2.6采购人应支付的一切款项及应承担的责任均包含在最终审计金额内，之外再无其他款项。</w:t>
            </w:r>
          </w:p>
          <w:p>
            <w:pPr>
              <w:pStyle w:val="null3"/>
              <w:ind w:firstLine="480"/>
              <w:jc w:val="both"/>
            </w:pPr>
            <w:r>
              <w:rPr>
                <w:rFonts w:ascii="仿宋_GB2312" w:hAnsi="仿宋_GB2312" w:cs="仿宋_GB2312" w:eastAsia="仿宋_GB2312"/>
                <w:sz w:val="24"/>
                <w:color w:val="000000"/>
              </w:rPr>
              <w:t>2.7成交供应商应当在采购人支付每笔工程款之前向采购人开具等额合法有效且符合甲方要求的增值税发票，否则采购人有权拒绝支付工程款且不承担任何违约责任。</w:t>
            </w:r>
          </w:p>
          <w:p>
            <w:pPr>
              <w:pStyle w:val="null3"/>
              <w:ind w:firstLine="480"/>
              <w:jc w:val="both"/>
            </w:pPr>
            <w:r>
              <w:rPr>
                <w:rFonts w:ascii="仿宋_GB2312" w:hAnsi="仿宋_GB2312" w:cs="仿宋_GB2312" w:eastAsia="仿宋_GB2312"/>
                <w:sz w:val="24"/>
                <w:color w:val="000000"/>
              </w:rPr>
              <w:t>2.8合同价款支付最终结算以采购人审定金额为准。审减率超过8%的，由成交供应商承担该工程全部审计费用；审减率低于8%（含）的，由采购人承担该工程全部审计费用。</w:t>
            </w:r>
          </w:p>
          <w:p>
            <w:pPr>
              <w:pStyle w:val="null3"/>
              <w:ind w:firstLine="480"/>
              <w:jc w:val="both"/>
            </w:pPr>
            <w:r>
              <w:rPr>
                <w:rFonts w:ascii="仿宋_GB2312" w:hAnsi="仿宋_GB2312" w:cs="仿宋_GB2312" w:eastAsia="仿宋_GB2312"/>
                <w:sz w:val="24"/>
                <w:color w:val="000000"/>
              </w:rPr>
              <w:t>2.9.水电费的收取结算按照学校规定执行。</w:t>
            </w:r>
          </w:p>
          <w:p>
            <w:pPr>
              <w:pStyle w:val="null3"/>
              <w:ind w:firstLine="480"/>
            </w:pPr>
            <w:r>
              <w:rPr>
                <w:rFonts w:ascii="仿宋_GB2312" w:hAnsi="仿宋_GB2312" w:cs="仿宋_GB2312" w:eastAsia="仿宋_GB2312"/>
                <w:sz w:val="24"/>
                <w:b/>
                <w:color w:val="000000"/>
              </w:rPr>
              <w:t>六、技术要求</w:t>
            </w:r>
          </w:p>
          <w:p>
            <w:pPr>
              <w:pStyle w:val="null3"/>
              <w:ind w:firstLine="480"/>
              <w:jc w:val="both"/>
            </w:pPr>
            <w:r>
              <w:rPr>
                <w:rFonts w:ascii="仿宋_GB2312" w:hAnsi="仿宋_GB2312" w:cs="仿宋_GB2312" w:eastAsia="仿宋_GB2312"/>
                <w:sz w:val="24"/>
                <w:color w:val="000000"/>
              </w:rPr>
              <w:t>工程须达到国家及行业现行技术规范标准，符合国家及行业验收合格</w:t>
            </w:r>
            <w:r>
              <w:rPr>
                <w:rFonts w:ascii="仿宋_GB2312" w:hAnsi="仿宋_GB2312" w:cs="仿宋_GB2312" w:eastAsia="仿宋_GB2312"/>
                <w:sz w:val="24"/>
                <w:color w:val="000000"/>
              </w:rPr>
              <w:t>标准。床体、灯具等设备保护，不得挪动床体。</w:t>
            </w:r>
          </w:p>
          <w:p>
            <w:pPr>
              <w:pStyle w:val="null3"/>
              <w:ind w:firstLine="480"/>
              <w:jc w:val="both"/>
            </w:pPr>
            <w:r>
              <w:rPr>
                <w:rFonts w:ascii="仿宋_GB2312" w:hAnsi="仿宋_GB2312" w:cs="仿宋_GB2312" w:eastAsia="仿宋_GB2312"/>
                <w:sz w:val="24"/>
                <w:color w:val="000000"/>
              </w:rPr>
              <w:t>质量：符合国家工程质量验收合格标准。</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本工程按国家和陕西省西安市现行质量评定标准和施工技术验收规范执行，在工程施工期间颁布新规范或新版本适用本工程的需遵照执行。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本工程按国家和陕西省西安市现行质量评定标准和施工技术验收规范执行，在工程施工期间颁布新规范或新版本适用本工程的需遵照执行。</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具体施工内容详见分部分项工程量清单。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1.本项目不组织统一踏勘，各响应供应商根据需求自行联系前往踏勘，踏勘联系人及联系电话：王老师 13991125258 2.（1）供应商需要在线提交所有通过电子化交易平台实施的政府采购项目的响应文件，同时，线下提交纸质响应文件正本壹份、副本壹份。若电子响应文件与纸质响应文件不一致的，以电子响应文件为准。 （2）响应文件，正、副本分别各自装订成册密封。在封口处加盖供应商公章。 （3）线下响应文件递交截止时间与线上开评标时间一致。 （4）纸质响应文件可邮寄递交，应于递交响应文件截止时间前邮寄到西安市高新区丈八一路1号汇鑫中心D座2206室（陕西德勤招标有限公司）。 3、磋商保证金注意事项：（1）磋商保证金须从供应商户名支付，如从个人户名或非供应商户名支付，将被拒绝，视为自动放弃磋商权利（该个人是供应商的情形除外）；以保函形式交纳磋商保证金的，供应商应在响应截止时间前将保函扫描成清晰的PDF文件，发送至邮箱deqinjxm@126.com（邮件命名：项目编号、包号）；供应商应在响应文件中附保函扫描件。保函必须由具有开具投标保函资格的单位开具；若成交人违约，开具保函单位承担连带责任；（2）磋商保证金的提交金额、时间不满足磋商文件要求的，响应无效；（3）未按指定账户提交的，我公司将退回，供应商须在文件递交截止时间前按照指定账户再次提交。 4、因文件关于合同签订时间无法修改，特在此处说明，成交人应当在成交通知书发出之日起25日内与采购人签订政府采购合同。 5.①本项目评标的先后顺序为：1包、2包；②为确保成交人能够按照采购人要求尽早完成施工任务，本项目1包、2包按照“兼投不兼中”的原则确定成交人，即：每个供应商最多只能中一包。若同一供应商在不同标包中综合得分排名第一时，推荐其为包号顺序靠前一包的第一成交候选人，其他相关包推荐综合得分排名第二的供应商为该包的第一成交候选人，已被推荐作为第一成交候选人的供应商，不再参与后续标包成交候选人的推荐。</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递交响应文件截止之日前三个月内基本开户银行出具的资信证明(以上两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递交响应文件截止之日前三个月内基本开户银行出具的资信证明(以上两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采购包整体专门面向中小企业采购。本工程由中小企业承建，即工程施工单位为中小企业，中小企业须符合本项目采购标的对应行业（建筑业）的政策划分标准。监狱企业、残疾人福利单位视同小型、微型企业。 注：中小企业应填写的《中小企业声明函》为判定标准，残疾人福利性单位填写的《残疾人福利性单位声明函》为判定标准，监狱企业须供应商提供由省级以上监狱管理局、戒毒管理局（含新疆生产建设兵团）出具的属于监狱企业的证明文件，否则不予认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采购包整体专门面向中小企业采购。本工程由中小企业承建，即工程施工单位为中小企业，中小企业须符合本项目采购标的对应行业（建筑业）的政策划分标准。监狱企业、残疾人福利单位视同小型、微型企业。 注：中小企业应填写的《中小企业声明函》为判定标准，残疾人福利性单位填写的《残疾人福利性单位声明函》为判定标准，监狱企业须供应商提供由省级以上监狱管理局、戒毒管理局（含新疆生产建设兵团）出具的属于监狱企业的证明文件，否则不予认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提供有效存续的企业营业执照（副本）；</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递交响应文件截止之日前三个月内基本开户银行出具的资信证明(以上两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w:t>
            </w:r>
          </w:p>
        </w:tc>
        <w:tc>
          <w:tcPr>
            <w:tcW w:type="dxa" w:w="1661"/>
          </w:tcPr>
          <w:p>
            <w:pPr>
              <w:pStyle w:val="null3"/>
            </w:pPr>
            <w:r>
              <w:rPr>
                <w:rFonts w:ascii="仿宋_GB2312" w:hAnsi="仿宋_GB2312" w:cs="仿宋_GB2312" w:eastAsia="仿宋_GB2312"/>
              </w:rPr>
              <w:t>书面声明</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提供开标前一年内任意时段已缴纳的社会保障资金缴存单据或社保机构开具的社会保险参保缴费情况证明；依法不需要缴纳社会保障资金的应提供相关文件证明；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近三年无重大违法、违纪书面声明</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失信主体”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控股和管理关系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控股管理关系</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法定代表人授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法定代表人授权书</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本项目不接受联合体磋商，不允许分包</w:t>
            </w:r>
          </w:p>
        </w:tc>
        <w:tc>
          <w:tcPr>
            <w:tcW w:type="dxa" w:w="3322"/>
          </w:tcPr>
          <w:p>
            <w:pPr>
              <w:pStyle w:val="null3"/>
            </w:pPr>
            <w:r>
              <w:rPr>
                <w:rFonts w:ascii="仿宋_GB2312" w:hAnsi="仿宋_GB2312" w:cs="仿宋_GB2312" w:eastAsia="仿宋_GB2312"/>
              </w:rPr>
              <w:t>供应商应提供《非联合体不分包磋商声明》，视为独立磋商，不分包。</w:t>
            </w:r>
          </w:p>
        </w:tc>
        <w:tc>
          <w:tcPr>
            <w:tcW w:type="dxa" w:w="1661"/>
          </w:tcPr>
          <w:p>
            <w:pPr>
              <w:pStyle w:val="null3"/>
            </w:pPr>
            <w:r>
              <w:rPr>
                <w:rFonts w:ascii="仿宋_GB2312" w:hAnsi="仿宋_GB2312" w:cs="仿宋_GB2312" w:eastAsia="仿宋_GB2312"/>
              </w:rPr>
              <w:t>非联合体不分包磋商声明</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供应商应具有建设行政主管部门颁发的建筑工程施工总承包三级及以上或建筑装修装修二级及以上资质，且具有建设行政主管部门颁发的安全生产许可证；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拟派项目经理需具备（注册建造师二级）建筑工程专业及以上执业资格，具备有效的安全生产考核合格B证，在本单位注册且无在建项目，提供无在建承诺书（内容格式自拟）。</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提供有效存续的企业营业执照（副本）；</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递交响应文件截止之日前三个月内基本开户银行出具的资信证明(以上两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w:t>
            </w:r>
          </w:p>
        </w:tc>
        <w:tc>
          <w:tcPr>
            <w:tcW w:type="dxa" w:w="1661"/>
          </w:tcPr>
          <w:p>
            <w:pPr>
              <w:pStyle w:val="null3"/>
            </w:pPr>
            <w:r>
              <w:rPr>
                <w:rFonts w:ascii="仿宋_GB2312" w:hAnsi="仿宋_GB2312" w:cs="仿宋_GB2312" w:eastAsia="仿宋_GB2312"/>
              </w:rPr>
              <w:t>书面声明</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提供开标前一年内任意时段已缴纳的社会保障资金缴存单据或社保机构开具的社会保险参保缴费情况证明；依法不需要缴纳社会保障资金的应提供相关文件证明；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近三年无重大违法、违纪书面声明</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失信主体”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控股和管理关系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控股管理关系</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法定代表人授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法定代表人授权书</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本项目不接受联合体磋商，不允许分包</w:t>
            </w:r>
          </w:p>
        </w:tc>
        <w:tc>
          <w:tcPr>
            <w:tcW w:type="dxa" w:w="3322"/>
          </w:tcPr>
          <w:p>
            <w:pPr>
              <w:pStyle w:val="null3"/>
            </w:pPr>
            <w:r>
              <w:rPr>
                <w:rFonts w:ascii="仿宋_GB2312" w:hAnsi="仿宋_GB2312" w:cs="仿宋_GB2312" w:eastAsia="仿宋_GB2312"/>
              </w:rPr>
              <w:t>供应商应提供《非联合体不分包磋商声明》，视为独立磋商，不分包。</w:t>
            </w:r>
          </w:p>
        </w:tc>
        <w:tc>
          <w:tcPr>
            <w:tcW w:type="dxa" w:w="1661"/>
          </w:tcPr>
          <w:p>
            <w:pPr>
              <w:pStyle w:val="null3"/>
            </w:pPr>
            <w:r>
              <w:rPr>
                <w:rFonts w:ascii="仿宋_GB2312" w:hAnsi="仿宋_GB2312" w:cs="仿宋_GB2312" w:eastAsia="仿宋_GB2312"/>
              </w:rPr>
              <w:t>非联合体不分包磋商声明</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供应商应具有建设行政主管部门颁发的建筑工程施工总承包三级及以上或建筑装修装修二级及以上资质，且具有建设行政主管部门颁发的安全生产许可证；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拟派项目经理需具备（注册建造师二级）建筑工程专业及以上执业资格，具备有效的安全生产考核合格B证，在本单位注册且无在建项目，提供无在建承诺书（内容格式自拟）。</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已标价工程量清单 保证金汇款声明函 中小企业声明函 技术服务合同条款及其他商务要求应答表 供应商应提交的相关资格证明材料 控股管理关系 法定代表人授权书 非联合体不分包磋商声明 近三年无重大违法、违纪书面声明 响应文件封面 施工组织方案 项目管理机构组成表 残疾人福利性单位声明函 供应商类似项目业绩一览表 响应函 书面声明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响应报价表</w:t>
            </w:r>
          </w:p>
        </w:tc>
        <w:tc>
          <w:tcPr>
            <w:tcW w:type="dxa" w:w="3322"/>
          </w:tcPr>
          <w:p>
            <w:pPr>
              <w:pStyle w:val="null3"/>
            </w:pPr>
            <w:r>
              <w:rPr>
                <w:rFonts w:ascii="仿宋_GB2312" w:hAnsi="仿宋_GB2312" w:cs="仿宋_GB2312" w:eastAsia="仿宋_GB2312"/>
              </w:rPr>
              <w:t>（1）响应报价符合唯一性要求： （2）响应报价表填写符合要求； （3）计量单位、报价货币均符合磋商文件要求；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完全理解接受本项目商务条款。</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保证金交纳符合磋商文件要求。</w:t>
            </w:r>
          </w:p>
        </w:tc>
        <w:tc>
          <w:tcPr>
            <w:tcW w:type="dxa" w:w="1661"/>
          </w:tcPr>
          <w:p>
            <w:pPr>
              <w:pStyle w:val="null3"/>
            </w:pPr>
            <w:r>
              <w:rPr>
                <w:rFonts w:ascii="仿宋_GB2312" w:hAnsi="仿宋_GB2312" w:cs="仿宋_GB2312" w:eastAsia="仿宋_GB2312"/>
              </w:rPr>
              <w:t>保证金汇款声明函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已标价工程量清单 保证金汇款声明函 中小企业声明函 技术服务合同条款及其他商务要求应答表 供应商应提交的相关资格证明材料 控股管理关系 法定代表人授权书 响应文件封面 非联合体不分包磋商声明 近三年无重大违法、违纪书面声明 施工组织方案 项目管理机构组成表 残疾人福利性单位声明函 供应商类似项目业绩一览表 响应函 书面声明 主要人员简历表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已标价工程量清单 保证金汇款声明函 中小企业声明函 技术服务合同条款及其他商务要求应答表 供应商应提交的相关资格证明材料 控股管理关系 法定代表人授权书 响应文件封面 非联合体不分包磋商声明 近三年无重大违法、违纪书面声明 施工组织方案 项目管理机构组成表 残疾人福利性单位声明函 供应商类似项目业绩一览表 响应函 书面声明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响应报价表</w:t>
            </w:r>
          </w:p>
        </w:tc>
        <w:tc>
          <w:tcPr>
            <w:tcW w:type="dxa" w:w="3322"/>
          </w:tcPr>
          <w:p>
            <w:pPr>
              <w:pStyle w:val="null3"/>
            </w:pPr>
            <w:r>
              <w:rPr>
                <w:rFonts w:ascii="仿宋_GB2312" w:hAnsi="仿宋_GB2312" w:cs="仿宋_GB2312" w:eastAsia="仿宋_GB2312"/>
              </w:rPr>
              <w:t>（1）响应报价符合唯一性要求： （2）响应报价表填写符合要求； （3）计量单位、报价货币均符合磋商文件要求；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完全理解接受本项目商务条款。</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保证金交纳符合磋商文件要求。</w:t>
            </w:r>
          </w:p>
        </w:tc>
        <w:tc>
          <w:tcPr>
            <w:tcW w:type="dxa" w:w="1661"/>
          </w:tcPr>
          <w:p>
            <w:pPr>
              <w:pStyle w:val="null3"/>
            </w:pPr>
            <w:r>
              <w:rPr>
                <w:rFonts w:ascii="仿宋_GB2312" w:hAnsi="仿宋_GB2312" w:cs="仿宋_GB2312" w:eastAsia="仿宋_GB2312"/>
              </w:rPr>
              <w:t>保证金汇款声明函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已标价工程量清单 保证金汇款声明函 中小企业声明函 技术服务合同条款及其他商务要求应答表 供应商应提交的相关资格证明材料 控股管理关系 法定代表人授权书 非联合体不分包磋商声明 近三年无重大违法、违纪书面声明 响应文件封面 施工组织方案 项目管理机构组成表 残疾人福利性单位声明函 供应商类似项目业绩一览表 响应函 书面声明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依据踏勘现场制定的施工方案合理、技术措施得当计[5-8]分，方案基本合理、技术措施一般计[1-4）分；若出现缺项或只有标题无内容或内容有严重错误者，该项得0分。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质量管理体系完善，技术组织措施合理、可行计[5-8]分, 质量管理体系较完善、技术组织措施一般计[1-4）分；若出现缺项或只有标题无内容或内容有严重错误者，该项得0分。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安全管理体系健全，保证措施合理、可行计[4-7]分；安全管理体系较健全，保障措施一般计[1-4）；</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w:t>
            </w:r>
          </w:p>
        </w:tc>
      </w:tr>
      <w:tr>
        <w:tc>
          <w:tcPr>
            <w:tcW w:type="dxa" w:w="831"/>
            <w:vMerge/>
          </w:tcPr>
          <w:p/>
        </w:tc>
        <w:tc>
          <w:tcPr>
            <w:tcW w:type="dxa" w:w="1661"/>
          </w:tcPr>
          <w:p>
            <w:pPr>
              <w:pStyle w:val="null3"/>
            </w:pPr>
            <w:r>
              <w:rPr>
                <w:rFonts w:ascii="仿宋_GB2312" w:hAnsi="仿宋_GB2312" w:cs="仿宋_GB2312" w:eastAsia="仿宋_GB2312"/>
              </w:rPr>
              <w:t>环境保护措施、施工现场扬尘预防措施</w:t>
            </w:r>
          </w:p>
        </w:tc>
        <w:tc>
          <w:tcPr>
            <w:tcW w:type="dxa" w:w="2492"/>
          </w:tcPr>
          <w:p>
            <w:pPr>
              <w:pStyle w:val="null3"/>
            </w:pPr>
            <w:r>
              <w:rPr>
                <w:rFonts w:ascii="仿宋_GB2312" w:hAnsi="仿宋_GB2312" w:cs="仿宋_GB2312" w:eastAsia="仿宋_GB2312"/>
              </w:rPr>
              <w:t>各项措施合理、保障有力计[4-5]分；各项措施一般计[1-3）分；若出现缺项或只有标题无内容或内容有严重错误者，该项得0分。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各项措施合理、保障有力计[4-6]分；各项措施一般计[1-3）分；若出现缺项或只有标题无内容或内容有严重错误者，该项得0分。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w:t>
            </w:r>
          </w:p>
        </w:tc>
      </w:tr>
      <w:tr>
        <w:tc>
          <w:tcPr>
            <w:tcW w:type="dxa" w:w="831"/>
            <w:vMerge/>
          </w:tcPr>
          <w:p/>
        </w:tc>
        <w:tc>
          <w:tcPr>
            <w:tcW w:type="dxa" w:w="1661"/>
          </w:tcPr>
          <w:p>
            <w:pPr>
              <w:pStyle w:val="null3"/>
            </w:pPr>
            <w:r>
              <w:rPr>
                <w:rFonts w:ascii="仿宋_GB2312" w:hAnsi="仿宋_GB2312" w:cs="仿宋_GB2312" w:eastAsia="仿宋_GB2312"/>
              </w:rPr>
              <w:t>项目组织管理机构安排计划</w:t>
            </w:r>
          </w:p>
        </w:tc>
        <w:tc>
          <w:tcPr>
            <w:tcW w:type="dxa" w:w="2492"/>
          </w:tcPr>
          <w:p>
            <w:pPr>
              <w:pStyle w:val="null3"/>
            </w:pPr>
            <w:r>
              <w:rPr>
                <w:rFonts w:ascii="仿宋_GB2312" w:hAnsi="仿宋_GB2312" w:cs="仿宋_GB2312" w:eastAsia="仿宋_GB2312"/>
              </w:rPr>
              <w:t>项目组织管理机构人员配置齐全（除项目经理外），各专业配备合理、分工及岗位职责清晰计[5-8]分；人员配置一般，分工基本明确，职责不够清晰计[1-4）分；若出现缺项或只有标题无内容或内容有严重错误者，该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施工现场机械配备和材料投入计划合理，符合施工实际需求计[4-5]分；施工机械配备和材料投入计划一般，基本符合施工实际需求的计[1-3）分；若出现缺项或只有标题无内容或内容有严重错误者，该项得0分。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进度计划合理、保证措施有力计[4-5]分；施工进度计划不清晰、措施一般计[1-3）分若出现缺项或只有标题无内容或内容有严重错误者，该项得0分。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w:t>
            </w:r>
          </w:p>
        </w:tc>
      </w:tr>
      <w:tr>
        <w:tc>
          <w:tcPr>
            <w:tcW w:type="dxa" w:w="831"/>
            <w:vMerge/>
          </w:tcPr>
          <w:p/>
        </w:tc>
        <w:tc>
          <w:tcPr>
            <w:tcW w:type="dxa" w:w="1661"/>
          </w:tcPr>
          <w:p>
            <w:pPr>
              <w:pStyle w:val="null3"/>
            </w:pPr>
            <w:r>
              <w:rPr>
                <w:rFonts w:ascii="仿宋_GB2312" w:hAnsi="仿宋_GB2312" w:cs="仿宋_GB2312" w:eastAsia="仿宋_GB2312"/>
              </w:rPr>
              <w:t>材料符合性</w:t>
            </w:r>
          </w:p>
        </w:tc>
        <w:tc>
          <w:tcPr>
            <w:tcW w:type="dxa" w:w="2492"/>
          </w:tcPr>
          <w:p>
            <w:pPr>
              <w:pStyle w:val="null3"/>
            </w:pPr>
            <w:r>
              <w:rPr>
                <w:rFonts w:ascii="仿宋_GB2312" w:hAnsi="仿宋_GB2312" w:cs="仿宋_GB2312" w:eastAsia="仿宋_GB2312"/>
              </w:rPr>
              <w:t>施工中主材品质可靠且完全符合项目需求，来源渠道可靠，能够提供完整证明材料，能够有效保障工程质量，得[5-8)分； 施工中主材品质基本可靠且基本符合项目需求，来源渠道可靠，能够提供基本证明材料，得[2-4)分； 施工中主材品质基本可靠且基本符合项目需求，无法提供完整来源渠道证明，得[1-2)分。 若出现缺项或只有标题无内容或内容有严重错误者，该项得0分。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企业2021年1月至今具有类似工程业绩者，每项得1分，满分得5分（以提供的施工合同为准）。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施工组织方案</w:t>
            </w:r>
          </w:p>
        </w:tc>
      </w:tr>
      <w:tr>
        <w:tc>
          <w:tcPr>
            <w:tcW w:type="dxa" w:w="831"/>
            <w:vMerge/>
          </w:tcPr>
          <w:p/>
        </w:tc>
        <w:tc>
          <w:tcPr>
            <w:tcW w:type="dxa" w:w="1661"/>
          </w:tcPr>
          <w:p>
            <w:pPr>
              <w:pStyle w:val="null3"/>
            </w:pPr>
            <w:r>
              <w:rPr>
                <w:rFonts w:ascii="仿宋_GB2312" w:hAnsi="仿宋_GB2312" w:cs="仿宋_GB2312" w:eastAsia="仿宋_GB2312"/>
              </w:rPr>
              <w:t>保修承诺</w:t>
            </w:r>
          </w:p>
        </w:tc>
        <w:tc>
          <w:tcPr>
            <w:tcW w:type="dxa" w:w="2492"/>
          </w:tcPr>
          <w:p>
            <w:pPr>
              <w:pStyle w:val="null3"/>
            </w:pPr>
            <w:r>
              <w:rPr>
                <w:rFonts w:ascii="仿宋_GB2312" w:hAnsi="仿宋_GB2312" w:cs="仿宋_GB2312" w:eastAsia="仿宋_GB2312"/>
              </w:rPr>
              <w:t>①质量保修承诺内容完善，合理得[3-5]分； ②质量保修承诺内容基本完善，基本合理得[1-3）分； ③质量保修承诺内容不完善，合理性较差得[0-1）分； 注：若出现缺项或只有标题无内容或内容有严重错误者，该项得0分。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价格分统一采用低价优先法计算，即满足磋商文件要求且最低的响应报价为基准价，其价格分为满分。其他供应商的价格分统一按照下列 公式计算：响应报价得分=(基准价／响应报价)×价格权值×100计算分数时四舍五入取小数点后两位。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依据踏勘现场制定的施工方案合理、技术措施得当计[5-8]分，方案基本合理、技术措施一般计[1-4）分；若出现缺项或只有标题无内容或内容有严重错误者，该项得0分。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质量管理体系完善，技术组织措施合理、可行计[5-8]分, 质量管理体系较完善、技术组织措施一般计[1-4）分；若出现缺项或只有标题无内容或内容有严重错误者，该项得0分。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安全管理体系健全，保证措施合理、可行计[4-7]分；安全管理体系较健全，保障措施一般计[1-4）；</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w:t>
            </w:r>
          </w:p>
        </w:tc>
      </w:tr>
      <w:tr>
        <w:tc>
          <w:tcPr>
            <w:tcW w:type="dxa" w:w="831"/>
            <w:vMerge/>
          </w:tcPr>
          <w:p/>
        </w:tc>
        <w:tc>
          <w:tcPr>
            <w:tcW w:type="dxa" w:w="1661"/>
          </w:tcPr>
          <w:p>
            <w:pPr>
              <w:pStyle w:val="null3"/>
            </w:pPr>
            <w:r>
              <w:rPr>
                <w:rFonts w:ascii="仿宋_GB2312" w:hAnsi="仿宋_GB2312" w:cs="仿宋_GB2312" w:eastAsia="仿宋_GB2312"/>
              </w:rPr>
              <w:t>环境保护措施、施工现场扬尘预防措施</w:t>
            </w:r>
          </w:p>
        </w:tc>
        <w:tc>
          <w:tcPr>
            <w:tcW w:type="dxa" w:w="2492"/>
          </w:tcPr>
          <w:p>
            <w:pPr>
              <w:pStyle w:val="null3"/>
            </w:pPr>
            <w:r>
              <w:rPr>
                <w:rFonts w:ascii="仿宋_GB2312" w:hAnsi="仿宋_GB2312" w:cs="仿宋_GB2312" w:eastAsia="仿宋_GB2312"/>
              </w:rPr>
              <w:t>各项措施合理、保障有力计[4-5]分；各项措施一般计[1-3）分；若出现缺项或只有标题无内容或内容有严重错误者，该项得0分。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各项措施合理、保障有力计[4-6]分；各项措施一般计[1-3）分；若出现缺项或只有标题无内容或内容有严重错误者，该项得0分。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w:t>
            </w:r>
          </w:p>
        </w:tc>
      </w:tr>
      <w:tr>
        <w:tc>
          <w:tcPr>
            <w:tcW w:type="dxa" w:w="831"/>
            <w:vMerge/>
          </w:tcPr>
          <w:p/>
        </w:tc>
        <w:tc>
          <w:tcPr>
            <w:tcW w:type="dxa" w:w="1661"/>
          </w:tcPr>
          <w:p>
            <w:pPr>
              <w:pStyle w:val="null3"/>
            </w:pPr>
            <w:r>
              <w:rPr>
                <w:rFonts w:ascii="仿宋_GB2312" w:hAnsi="仿宋_GB2312" w:cs="仿宋_GB2312" w:eastAsia="仿宋_GB2312"/>
              </w:rPr>
              <w:t>项目组织管理机构安排计划</w:t>
            </w:r>
          </w:p>
        </w:tc>
        <w:tc>
          <w:tcPr>
            <w:tcW w:type="dxa" w:w="2492"/>
          </w:tcPr>
          <w:p>
            <w:pPr>
              <w:pStyle w:val="null3"/>
            </w:pPr>
            <w:r>
              <w:rPr>
                <w:rFonts w:ascii="仿宋_GB2312" w:hAnsi="仿宋_GB2312" w:cs="仿宋_GB2312" w:eastAsia="仿宋_GB2312"/>
              </w:rPr>
              <w:t>项目组织管理机构人员配置齐全（除项目经理外），各专业配备合理、分工及岗位职责清晰计[5-8]分；人员配置一般，分工基本明确，职责不够清晰计[1-4）分；若出现缺项或只有标题无内容或内容有严重错误者，该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施工组织方案</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施工现场机械配备和材料投入计划合理，符合施工实际需求计[4-5]分；施工机械配备和材料投入计划一般，基本符合施工实际需求的计[1-3）分；若出现缺项或只有标题无内容或内容有严重错误者，该项得0分。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进度计划合理、保证措施有力计[4-5]分；施工进度计划不清晰、措施一般计[1-3）分若出现缺项或只有标题无内容或内容有严重错误者，该项得0分。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w:t>
            </w:r>
          </w:p>
        </w:tc>
      </w:tr>
      <w:tr>
        <w:tc>
          <w:tcPr>
            <w:tcW w:type="dxa" w:w="831"/>
            <w:vMerge/>
          </w:tcPr>
          <w:p/>
        </w:tc>
        <w:tc>
          <w:tcPr>
            <w:tcW w:type="dxa" w:w="1661"/>
          </w:tcPr>
          <w:p>
            <w:pPr>
              <w:pStyle w:val="null3"/>
            </w:pPr>
            <w:r>
              <w:rPr>
                <w:rFonts w:ascii="仿宋_GB2312" w:hAnsi="仿宋_GB2312" w:cs="仿宋_GB2312" w:eastAsia="仿宋_GB2312"/>
              </w:rPr>
              <w:t>材料符合性</w:t>
            </w:r>
          </w:p>
        </w:tc>
        <w:tc>
          <w:tcPr>
            <w:tcW w:type="dxa" w:w="2492"/>
          </w:tcPr>
          <w:p>
            <w:pPr>
              <w:pStyle w:val="null3"/>
            </w:pPr>
            <w:r>
              <w:rPr>
                <w:rFonts w:ascii="仿宋_GB2312" w:hAnsi="仿宋_GB2312" w:cs="仿宋_GB2312" w:eastAsia="仿宋_GB2312"/>
              </w:rPr>
              <w:t>施工中主材品质可靠且完全符合项目需求，来源渠道可靠，能够提供完整证明材料，能够有效保障工程质量，得[5-8)分； 施工中主材品质基本可靠且基本符合项目需求，来源渠道可靠，能够提供基本证明材料，得[2-4)分； 施工中主材品质基本可靠且基本符合项目需求，无法提供完整来源渠道证明，得[1-2)分。 若出现缺项或只有标题无内容或内容有严重错误者，该项得0分。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企业2021年1月至今具有类似工程业绩者，每项得1分，满分得5分（以提供的施工合同为准）。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施工组织方案</w:t>
            </w:r>
          </w:p>
        </w:tc>
      </w:tr>
      <w:tr>
        <w:tc>
          <w:tcPr>
            <w:tcW w:type="dxa" w:w="831"/>
            <w:vMerge/>
          </w:tcPr>
          <w:p/>
        </w:tc>
        <w:tc>
          <w:tcPr>
            <w:tcW w:type="dxa" w:w="1661"/>
          </w:tcPr>
          <w:p>
            <w:pPr>
              <w:pStyle w:val="null3"/>
            </w:pPr>
            <w:r>
              <w:rPr>
                <w:rFonts w:ascii="仿宋_GB2312" w:hAnsi="仿宋_GB2312" w:cs="仿宋_GB2312" w:eastAsia="仿宋_GB2312"/>
              </w:rPr>
              <w:t>保修承诺</w:t>
            </w:r>
          </w:p>
        </w:tc>
        <w:tc>
          <w:tcPr>
            <w:tcW w:type="dxa" w:w="2492"/>
          </w:tcPr>
          <w:p>
            <w:pPr>
              <w:pStyle w:val="null3"/>
            </w:pPr>
            <w:r>
              <w:rPr>
                <w:rFonts w:ascii="仿宋_GB2312" w:hAnsi="仿宋_GB2312" w:cs="仿宋_GB2312" w:eastAsia="仿宋_GB2312"/>
              </w:rPr>
              <w:t>①质量保修承诺内容完善，合理得[3-5]分； ②质量保修承诺内容基本完善，基本合理得[1-3）分； ③质量保修承诺内容不完善，合理性较差得[0-1）分； 注：若出现缺项或只有标题无内容或内容有严重错误者，该项得0分。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价格分统一采用低价优先法计算，即满足磋商文件要求且最低的响应报价为基准价，其价格分为满分。其他供应商的价格分统一按照下列 公式计算：响应报价得分=(基准价／响应报价)×价格权值×100计算分数时四舍五入取小数点后两位。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详见附件：保证金汇款声明函</w:t>
      </w:r>
    </w:p>
    <w:p>
      <w:pPr>
        <w:pStyle w:val="null3"/>
        <w:ind w:firstLine="960"/>
      </w:pPr>
      <w:r>
        <w:rPr>
          <w:rFonts w:ascii="仿宋_GB2312" w:hAnsi="仿宋_GB2312" w:cs="仿宋_GB2312" w:eastAsia="仿宋_GB2312"/>
        </w:rPr>
        <w:t>详见附件：法定代表人授权书</w:t>
      </w:r>
    </w:p>
    <w:p>
      <w:pPr>
        <w:pStyle w:val="null3"/>
        <w:ind w:firstLine="960"/>
      </w:pPr>
      <w:r>
        <w:rPr>
          <w:rFonts w:ascii="仿宋_GB2312" w:hAnsi="仿宋_GB2312" w:cs="仿宋_GB2312" w:eastAsia="仿宋_GB2312"/>
        </w:rPr>
        <w:t>详见附件：非联合体不分包磋商声明</w:t>
      </w:r>
    </w:p>
    <w:p>
      <w:pPr>
        <w:pStyle w:val="null3"/>
        <w:ind w:firstLine="960"/>
      </w:pPr>
      <w:r>
        <w:rPr>
          <w:rFonts w:ascii="仿宋_GB2312" w:hAnsi="仿宋_GB2312" w:cs="仿宋_GB2312" w:eastAsia="仿宋_GB2312"/>
        </w:rPr>
        <w:t>详见附件：近三年无重大违法、违纪书面声明</w:t>
      </w:r>
    </w:p>
    <w:p>
      <w:pPr>
        <w:pStyle w:val="null3"/>
        <w:ind w:firstLine="960"/>
      </w:pPr>
      <w:r>
        <w:rPr>
          <w:rFonts w:ascii="仿宋_GB2312" w:hAnsi="仿宋_GB2312" w:cs="仿宋_GB2312" w:eastAsia="仿宋_GB2312"/>
        </w:rPr>
        <w:t>详见附件：控股管理关系</w:t>
      </w:r>
    </w:p>
    <w:p>
      <w:pPr>
        <w:pStyle w:val="null3"/>
        <w:ind w:firstLine="960"/>
      </w:pPr>
      <w:r>
        <w:rPr>
          <w:rFonts w:ascii="仿宋_GB2312" w:hAnsi="仿宋_GB2312" w:cs="仿宋_GB2312" w:eastAsia="仿宋_GB2312"/>
        </w:rPr>
        <w:t>详见附件：施工组织方案</w:t>
      </w:r>
    </w:p>
    <w:p>
      <w:pPr>
        <w:pStyle w:val="null3"/>
        <w:ind w:firstLine="960"/>
      </w:pPr>
      <w:r>
        <w:rPr>
          <w:rFonts w:ascii="仿宋_GB2312" w:hAnsi="仿宋_GB2312" w:cs="仿宋_GB2312" w:eastAsia="仿宋_GB2312"/>
        </w:rPr>
        <w:t>详见附件：书面声明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详见附件：保证金汇款声明函</w:t>
      </w:r>
    </w:p>
    <w:p>
      <w:pPr>
        <w:pStyle w:val="null3"/>
        <w:ind w:firstLine="960"/>
      </w:pPr>
      <w:r>
        <w:rPr>
          <w:rFonts w:ascii="仿宋_GB2312" w:hAnsi="仿宋_GB2312" w:cs="仿宋_GB2312" w:eastAsia="仿宋_GB2312"/>
        </w:rPr>
        <w:t>详见附件：法定代表人授权书</w:t>
      </w:r>
    </w:p>
    <w:p>
      <w:pPr>
        <w:pStyle w:val="null3"/>
        <w:ind w:firstLine="960"/>
      </w:pPr>
      <w:r>
        <w:rPr>
          <w:rFonts w:ascii="仿宋_GB2312" w:hAnsi="仿宋_GB2312" w:cs="仿宋_GB2312" w:eastAsia="仿宋_GB2312"/>
        </w:rPr>
        <w:t>详见附件：非联合体不分包磋商声明</w:t>
      </w:r>
    </w:p>
    <w:p>
      <w:pPr>
        <w:pStyle w:val="null3"/>
        <w:ind w:firstLine="960"/>
      </w:pPr>
      <w:r>
        <w:rPr>
          <w:rFonts w:ascii="仿宋_GB2312" w:hAnsi="仿宋_GB2312" w:cs="仿宋_GB2312" w:eastAsia="仿宋_GB2312"/>
        </w:rPr>
        <w:t>详见附件：近三年无重大违法、违纪书面声明</w:t>
      </w:r>
    </w:p>
    <w:p>
      <w:pPr>
        <w:pStyle w:val="null3"/>
        <w:ind w:firstLine="960"/>
      </w:pPr>
      <w:r>
        <w:rPr>
          <w:rFonts w:ascii="仿宋_GB2312" w:hAnsi="仿宋_GB2312" w:cs="仿宋_GB2312" w:eastAsia="仿宋_GB2312"/>
        </w:rPr>
        <w:t>详见附件：控股管理关系</w:t>
      </w:r>
    </w:p>
    <w:p>
      <w:pPr>
        <w:pStyle w:val="null3"/>
        <w:ind w:firstLine="960"/>
      </w:pPr>
      <w:r>
        <w:rPr>
          <w:rFonts w:ascii="仿宋_GB2312" w:hAnsi="仿宋_GB2312" w:cs="仿宋_GB2312" w:eastAsia="仿宋_GB2312"/>
        </w:rPr>
        <w:t>详见附件：施工组织方案</w:t>
      </w:r>
    </w:p>
    <w:p>
      <w:pPr>
        <w:pStyle w:val="null3"/>
        <w:ind w:firstLine="960"/>
      </w:pPr>
      <w:r>
        <w:rPr>
          <w:rFonts w:ascii="仿宋_GB2312" w:hAnsi="仿宋_GB2312" w:cs="仿宋_GB2312" w:eastAsia="仿宋_GB2312"/>
        </w:rPr>
        <w:t>详见附件：书面声明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