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版本号：KY2025-1-436.20250710001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2025年陕西省公共服务监测评价项目(二次)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KY2025-1-436.</w:t>
      </w:r>
      <w:r>
        <w:br/>
      </w:r>
      <w:r>
        <w:br/>
      </w:r>
      <w:r>
        <w:br/>
      </w:r>
    </w:p>
    <w:p>
      <w:pPr>
        <w:pStyle w:val="null3"/>
        <w:jc w:val="center"/>
        <w:outlineLvl w:val="2"/>
      </w:pPr>
      <w:r>
        <w:rPr>
          <w:rFonts w:ascii="仿宋_GB2312" w:hAnsi="仿宋_GB2312" w:cs="仿宋_GB2312" w:eastAsia="仿宋_GB2312"/>
          <w:sz w:val="28"/>
          <w:b/>
        </w:rPr>
        <w:t>陕西省市场监督管理局</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2025年陕西省公共服务监测评价项目(二次)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KY2025-1-436.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2025年陕西省公共服务监测评价项目(二次)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 xml:space="preserve"> 陕西省市场监督管理局2025年陕西省公共服务监测评价项目(二次)，1项，具体内容详见采购文件第三章。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2023或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税收缴纳证明：提供2024年5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4、社会保障资金缴存证明：提供2024年5月至今已缴存的至少一个月的社会保障资金缴存单据或社保机构开具的社会保险参保缴费情况证明，依法不需要缴纳社会保障资金的单位应提供相关证明材料。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7、法定代表人授权书：法定代表人授权书及被授权人身份证明。（法定代表人直接磋商只须提交其身份证明）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侯老师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18165365008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杭琨、韩婷、刘金柯、卢韶华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银行账号：86113010750181502000123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成交服务费，交费金额参照国家计委颁布的《招标代理服务收费管理暂行办法》（计价格[2002]1980号）及发改办价格[2003]857号文件的规定标准执行，不足伍仟按伍仟元收取。 3、本项目代理服务费按服务计取。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联系人：杭琨、韩婷</w:t>
      </w:r>
    </w:p>
    <w:p>
      <w:pPr>
        <w:pStyle w:val="null3"/>
      </w:pPr>
      <w:r>
        <w:rPr>
          <w:rFonts w:ascii="仿宋_GB2312" w:hAnsi="仿宋_GB2312" w:cs="仿宋_GB2312" w:eastAsia="仿宋_GB2312"/>
        </w:rPr>
        <w:t>联系电话：029-81206622-825</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陕西省市场监督管理局2025年陕西省公共服务监测评价项目(二次)，具体详见项目需求。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2025年陕西省公共服务监测评价</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标的名称：2025年陕西省公共服务监测评价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4"/>
                <w:b/>
                <w:color w:val="000000"/>
              </w:rPr>
              <w:t>一、项目内容</w:t>
            </w:r>
          </w:p>
          <w:p>
            <w:pPr>
              <w:pStyle w:val="null3"/>
              <w:ind w:firstLine="480"/>
              <w:jc w:val="left"/>
            </w:pPr>
            <w:r>
              <w:rPr>
                <w:rFonts w:ascii="仿宋_GB2312" w:hAnsi="仿宋_GB2312" w:cs="仿宋_GB2312" w:eastAsia="仿宋_GB2312"/>
                <w:sz w:val="24"/>
                <w:color w:val="000000"/>
              </w:rPr>
              <w:t>技术以国家市场监管总局《服务质量监测技术指南》为基本依据，对公共教育、医疗服务、公共文化、公共体育、政务服务、养老服务六个领域开展公共服务质量监测。调查对象为陕西省</w:t>
            </w:r>
            <w:r>
              <w:rPr>
                <w:rFonts w:ascii="仿宋_GB2312" w:hAnsi="仿宋_GB2312" w:cs="仿宋_GB2312" w:eastAsia="仿宋_GB2312"/>
                <w:sz w:val="24"/>
                <w:color w:val="000000"/>
              </w:rPr>
              <w:t>12</w:t>
            </w:r>
            <w:r>
              <w:rPr>
                <w:rFonts w:ascii="仿宋_GB2312" w:hAnsi="仿宋_GB2312" w:cs="仿宋_GB2312" w:eastAsia="仿宋_GB2312"/>
                <w:sz w:val="24"/>
                <w:color w:val="000000"/>
              </w:rPr>
              <w:t>个市（区）年龄在</w:t>
            </w:r>
            <w:r>
              <w:rPr>
                <w:rFonts w:ascii="仿宋_GB2312" w:hAnsi="仿宋_GB2312" w:cs="仿宋_GB2312" w:eastAsia="仿宋_GB2312"/>
                <w:sz w:val="24"/>
                <w:color w:val="000000"/>
              </w:rPr>
              <w:t>18</w:t>
            </w:r>
            <w:r>
              <w:rPr>
                <w:rFonts w:ascii="仿宋_GB2312" w:hAnsi="仿宋_GB2312" w:cs="仿宋_GB2312" w:eastAsia="仿宋_GB2312"/>
                <w:sz w:val="24"/>
                <w:color w:val="000000"/>
              </w:rPr>
              <w:t>周岁及以上的常住人口（居住半年以上），年龄在</w:t>
            </w:r>
            <w:r>
              <w:rPr>
                <w:rFonts w:ascii="仿宋_GB2312" w:hAnsi="仿宋_GB2312" w:cs="仿宋_GB2312" w:eastAsia="仿宋_GB2312"/>
                <w:sz w:val="24"/>
                <w:color w:val="000000"/>
              </w:rPr>
              <w:t>18</w:t>
            </w:r>
            <w:r>
              <w:rPr>
                <w:rFonts w:ascii="仿宋_GB2312" w:hAnsi="仿宋_GB2312" w:cs="仿宋_GB2312" w:eastAsia="仿宋_GB2312"/>
                <w:sz w:val="24"/>
                <w:color w:val="000000"/>
              </w:rPr>
              <w:t>周岁及以上。每个地市每个领域有效问卷不低于</w:t>
            </w:r>
            <w:r>
              <w:rPr>
                <w:rFonts w:ascii="仿宋_GB2312" w:hAnsi="仿宋_GB2312" w:cs="仿宋_GB2312" w:eastAsia="仿宋_GB2312"/>
                <w:sz w:val="24"/>
                <w:color w:val="000000"/>
              </w:rPr>
              <w:t>347</w:t>
            </w:r>
            <w:r>
              <w:rPr>
                <w:rFonts w:ascii="仿宋_GB2312" w:hAnsi="仿宋_GB2312" w:cs="仿宋_GB2312" w:eastAsia="仿宋_GB2312"/>
                <w:sz w:val="24"/>
                <w:color w:val="000000"/>
              </w:rPr>
              <w:t>份，全省完成不少于</w:t>
            </w:r>
            <w:r>
              <w:rPr>
                <w:rFonts w:ascii="仿宋_GB2312" w:hAnsi="仿宋_GB2312" w:cs="仿宋_GB2312" w:eastAsia="仿宋_GB2312"/>
                <w:sz w:val="24"/>
                <w:color w:val="000000"/>
              </w:rPr>
              <w:t>5000</w:t>
            </w:r>
            <w:r>
              <w:rPr>
                <w:rFonts w:ascii="仿宋_GB2312" w:hAnsi="仿宋_GB2312" w:cs="仿宋_GB2312" w:eastAsia="仿宋_GB2312"/>
                <w:sz w:val="24"/>
                <w:color w:val="000000"/>
              </w:rPr>
              <w:t>份样本。样本分布应科学合理，保证样本在性别、年龄和城乡方面的结构满足第七次人口普查总体人口结构。监测采用网络调查的方式开展，通过移动互联网用户</w:t>
            </w:r>
            <w:r>
              <w:rPr>
                <w:rFonts w:ascii="仿宋_GB2312" w:hAnsi="仿宋_GB2312" w:cs="仿宋_GB2312" w:eastAsia="仿宋_GB2312"/>
                <w:sz w:val="24"/>
                <w:color w:val="000000"/>
              </w:rPr>
              <w:t>IP</w:t>
            </w:r>
            <w:r>
              <w:rPr>
                <w:rFonts w:ascii="仿宋_GB2312" w:hAnsi="仿宋_GB2312" w:cs="仿宋_GB2312" w:eastAsia="仿宋_GB2312"/>
                <w:sz w:val="24"/>
                <w:color w:val="000000"/>
              </w:rPr>
              <w:t>地址定位开展定向投放，邀请抽样目标区域的用户进行作答。项目应配备完善的管理制度、工作时间进度计划、质量控制体系和服务承诺及应急保障措施，确保数据的真实性和有效性。</w:t>
            </w:r>
          </w:p>
          <w:p>
            <w:pPr>
              <w:pStyle w:val="null3"/>
              <w:jc w:val="left"/>
            </w:pPr>
            <w:r>
              <w:rPr>
                <w:rFonts w:ascii="仿宋_GB2312" w:hAnsi="仿宋_GB2312" w:cs="仿宋_GB2312" w:eastAsia="仿宋_GB2312"/>
                <w:sz w:val="24"/>
                <w:b/>
                <w:color w:val="000000"/>
              </w:rPr>
              <w:t>二、成果要求</w:t>
            </w:r>
          </w:p>
          <w:p>
            <w:pPr>
              <w:pStyle w:val="null3"/>
              <w:jc w:val="left"/>
            </w:pPr>
            <w:r>
              <w:rPr>
                <w:rFonts w:ascii="仿宋_GB2312" w:hAnsi="仿宋_GB2312" w:cs="仿宋_GB2312" w:eastAsia="仿宋_GB2312"/>
                <w:sz w:val="24"/>
                <w:color w:val="000000"/>
              </w:rPr>
              <w:t>按照评价结果和项目要求撰写：</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报送给省政府的比对分析报告；</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下发各个市（区）的通报；</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公共服务质量提升行动方案。</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2025年12月底前完成。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陕西省市场监督管理局指定地点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1、供应商需要在线提交所有通过电子化交易平台实施的政府采购项目的响应文件，同时，线下提交纸质响应文件正本壹份、副本贰份、电子版壹份（U盘壹份）。 2、纸质响应文件正本、副本、电子版，标明供应商名称分开密封递交（响应文件采用双面打印）。 3、线下纸质文件递交截止时间：同在线递交电子响应文件截止时间一致；线下纸质文件递交地点：西安市雁展路1111号莱安中心T6-15层。如需邮寄响应文件，仅接受顺丰速运（联系人：杭琨、联系电话：029-81206622-825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或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提供2024年5月至今已缴纳至少一个月的依法缴纳税款的相关凭据（时间以税款所属日期为准），凭据应有税务机关或代收机关的公章或业务专用章。依法免税或无须缴纳税款的供应商，应提供相关证明文件。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提供2024年5月至今已缴存的至少一个月的社会保障资金缴存单据或社保机构开具的社会保险参保缴费情况证明，依法不需要缴纳社会保障资金的单位应提供相关证明材料。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法定代表人授权书及被授权人身份证明。（法定代表人直接磋商只须提交其身份证明）</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有可能影响项目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响应方案说明.docx 中小企业声明函 保证金交纳凭证保函.docx 供应商承诺书.docx 商务条款响应说明.docx 响应文件封面 分项报价表.docx 残疾人福利性单位声明函 标的清单 服务内容及服务要求应答表.docx 供应商资格证明文件.docx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响应方案说明.docx 中小企业声明函 保证金交纳凭证保函.docx 供应商承诺书.docx 商务条款响应说明.docx 响应文件封面 分项报价表.docx 残疾人福利性单位声明函 标的清单 服务内容及服务要求应答表.docx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保证金交纳符合磋商文件要求</w:t>
            </w:r>
          </w:p>
        </w:tc>
        <w:tc>
          <w:tcPr>
            <w:tcW w:type="dxa" w:w="1661"/>
          </w:tcPr>
          <w:p>
            <w:pPr>
              <w:pStyle w:val="null3"/>
            </w:pPr>
            <w:r>
              <w:rPr>
                <w:rFonts w:ascii="仿宋_GB2312" w:hAnsi="仿宋_GB2312" w:cs="仿宋_GB2312" w:eastAsia="仿宋_GB2312"/>
              </w:rPr>
              <w:t>保证金交纳凭证保函.docx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响应方案说明.docx 分项报价表.docx 标的清单 服务内容及服务要求应答表.docx 供应商资格证明文件.docx 响应函 供应商承诺书.docx 商务条款响应说明.docx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技术服务方案</w:t>
            </w:r>
          </w:p>
        </w:tc>
        <w:tc>
          <w:tcPr>
            <w:tcW w:type="dxa" w:w="2492"/>
          </w:tcPr>
          <w:p>
            <w:pPr>
              <w:pStyle w:val="null3"/>
            </w:pPr>
            <w:r>
              <w:rPr>
                <w:rFonts w:ascii="仿宋_GB2312" w:hAnsi="仿宋_GB2312" w:cs="仿宋_GB2312" w:eastAsia="仿宋_GB2312"/>
              </w:rPr>
              <w:t>根据供应商提供的技术服务方案（包括但不限于监测内容、评价方法、调查方式、数据采集方法等）进行评审： 1、方案内容细致全面、切合实际、合理可行，完全符合本项目实际需求，计20分； 2、方案内容较为完整、切合实际，符合本项目实际需求，计16分； 3、方案内容基本全面、合理，基本符合本项目实际需求，计12分； 4、方案内容不够完整、合理性一般，计8分； 5、方案有明显缺陷，具体实施不切实际，计3分； 6、方案内容有偏差，无法满足本项目需求，计1分； 7、未提供不计分。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根据供应商提供的管理制度（包括但不限于围绕项目前期、项目中期、项目后期三个阶段制定公共服务质量监测相关的工作管理制度）进行评审： 1、管理制度详细、可行，计10分； 2、管理制度较详细、有一定可行性，计7分； 3、管理制度内容简单、可行性一般，计4分； 4、管理制度内容有明显缺陷，不切合实际的，计1分； 5、不提供不计分。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工作时间进度计划</w:t>
            </w:r>
          </w:p>
        </w:tc>
        <w:tc>
          <w:tcPr>
            <w:tcW w:type="dxa" w:w="2492"/>
          </w:tcPr>
          <w:p>
            <w:pPr>
              <w:pStyle w:val="null3"/>
            </w:pPr>
            <w:r>
              <w:rPr>
                <w:rFonts w:ascii="仿宋_GB2312" w:hAnsi="仿宋_GB2312" w:cs="仿宋_GB2312" w:eastAsia="仿宋_GB2312"/>
              </w:rPr>
              <w:t>根据供应商提供的工作时间进度计划（包括但不限于工作进度安排、进度时间安排、注意事项等）进行评审： 1、进度计划详细、完整、合理高效的，计10分； 2、进度计划较详细、完整、合理高效的，计7分； 3、进度计划内容简单，合理性一般的，计4分； 4、进度计划不详细，不切合实际的，计1分； 5、未提供不计分。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质量控制</w:t>
            </w:r>
          </w:p>
        </w:tc>
        <w:tc>
          <w:tcPr>
            <w:tcW w:type="dxa" w:w="2492"/>
          </w:tcPr>
          <w:p>
            <w:pPr>
              <w:pStyle w:val="null3"/>
            </w:pPr>
            <w:r>
              <w:rPr>
                <w:rFonts w:ascii="仿宋_GB2312" w:hAnsi="仿宋_GB2312" w:cs="仿宋_GB2312" w:eastAsia="仿宋_GB2312"/>
              </w:rPr>
              <w:t>根据供应商提供质量控制（包括但不限于质量控制制度、质量控制实施计划等）进行评审： 1、质量控制详细、可行，计10分； 2、质量控制较详细、有一定可行性，计7分； 3、质量控制内容简单、可行性一般，计4分； 4、质量控制内容有明显缺陷，不切合实际的，计1分； 5、不提供不计分。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服务承诺及应急保障措施</w:t>
            </w:r>
          </w:p>
        </w:tc>
        <w:tc>
          <w:tcPr>
            <w:tcW w:type="dxa" w:w="2492"/>
          </w:tcPr>
          <w:p>
            <w:pPr>
              <w:pStyle w:val="null3"/>
            </w:pPr>
            <w:r>
              <w:rPr>
                <w:rFonts w:ascii="仿宋_GB2312" w:hAnsi="仿宋_GB2312" w:cs="仿宋_GB2312" w:eastAsia="仿宋_GB2312"/>
              </w:rPr>
              <w:t>根据供应商提供的服务承诺及应急保障措施（包括但不限于服务交付、项目人员安排、保密方案、应急保障措施等）进行评审： 1、措施内容全面、细致详细、合理可行，计10分； 2、措施内容较全面、详细，有一定可行性，计7分； 3、措施内容简单、可行性一般，计4分； 4、措施内容有明显缺陷，不切合实际的，计1分； 5、未提供不计分。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供应商提供2022年1月1日至今（以合同签订日期为准）类似项目的业绩合同，每份计2分，满分5分。 注：须提供项目合同或协议的关键页（包括但不限于合同首尾页、项目内容页，签字盖章页，签订日期页）扫描件，加盖公章，否则不计分。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技术团队</w:t>
            </w:r>
          </w:p>
        </w:tc>
        <w:tc>
          <w:tcPr>
            <w:tcW w:type="dxa" w:w="2492"/>
          </w:tcPr>
          <w:p>
            <w:pPr>
              <w:pStyle w:val="null3"/>
            </w:pPr>
            <w:r>
              <w:rPr>
                <w:rFonts w:ascii="仿宋_GB2312" w:hAnsi="仿宋_GB2312" w:cs="仿宋_GB2312" w:eastAsia="仿宋_GB2312"/>
              </w:rPr>
              <w:t>1、供应商拟投入本项目的技术团队具有具有与本项目相关专业硕士及以上学历（或学位）证书的，5人计2分，少于5人不计分，在5人基础上每增加一人计1分，本小项最高计5分。 2、上述技术团队中，具有高级（或以上）职称的，每提供一人计1分，本小项最高计5分。 注：须提供以上对应人员相关证书证明及与供应商存在合法劳动关系的证明，并加盖公章，否则不计分。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供应商管理水平</w:t>
            </w:r>
          </w:p>
        </w:tc>
        <w:tc>
          <w:tcPr>
            <w:tcW w:type="dxa" w:w="2492"/>
          </w:tcPr>
          <w:p>
            <w:pPr>
              <w:pStyle w:val="null3"/>
            </w:pPr>
            <w:r>
              <w:rPr>
                <w:rFonts w:ascii="仿宋_GB2312" w:hAnsi="仿宋_GB2312" w:cs="仿宋_GB2312" w:eastAsia="仿宋_GB2312"/>
              </w:rPr>
              <w:t>具有较强的科研实力，具备一定的公共服务质量监测和满意度评测理论基础，开展过公共服务质量评测、公众满意度评测等国家标准研究：主导或参与制定公共服务测评或满意度测评相关国家标准，每提供一项计2分，最高计10分。 注：供应商须提供标准的名称、文号、封面、体现编制单位所在页作为证明文件。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小型、微型企业和监狱企业级符合财政部、民政部、中国残疾人联合会关于促进残疾人就业政府采购政策的通知，以上政策同时具备的仅对其进行一次10%的价格扣除，不重复扣除。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详见附件：保证金交纳凭证保函.docx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