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版本号：SXZBHX2025-1620250710001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绩效薪酬体系及系统开发项目(二次)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SXZBHX2025-16</w:t>
      </w:r>
      <w:r>
        <w:br/>
      </w:r>
      <w:r>
        <w:br/>
      </w:r>
      <w:r>
        <w:br/>
      </w:r>
    </w:p>
    <w:p>
      <w:pPr>
        <w:pStyle w:val="null3"/>
        <w:jc w:val="center"/>
        <w:outlineLvl w:val="2"/>
      </w:pPr>
      <w:r>
        <w:rPr>
          <w:rFonts w:ascii="仿宋_GB2312" w:hAnsi="仿宋_GB2312" w:cs="仿宋_GB2312" w:eastAsia="仿宋_GB2312"/>
          <w:sz w:val="28"/>
          <w:b/>
        </w:rPr>
        <w:t>陕西省森林工业职工医院</w:t>
      </w:r>
    </w:p>
    <w:p>
      <w:pPr>
        <w:pStyle w:val="null3"/>
        <w:jc w:val="center"/>
        <w:outlineLvl w:val="2"/>
      </w:pPr>
      <w:r>
        <w:rPr>
          <w:rFonts w:ascii="仿宋_GB2312" w:hAnsi="仿宋_GB2312" w:cs="仿宋_GB2312" w:eastAsia="仿宋_GB2312"/>
          <w:sz w:val="28"/>
          <w:b/>
        </w:rPr>
        <w:t>陕西盛鑫药械招标有限公司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陕西盛鑫药械招标有限公司</w:t>
      </w:r>
      <w:r>
        <w:rPr>
          <w:rFonts w:ascii="仿宋_GB2312" w:hAnsi="仿宋_GB2312" w:cs="仿宋_GB2312" w:eastAsia="仿宋_GB2312"/>
        </w:rPr>
        <w:t>（以下简称“代理机构”）受</w:t>
      </w:r>
      <w:r>
        <w:rPr>
          <w:rFonts w:ascii="仿宋_GB2312" w:hAnsi="仿宋_GB2312" w:cs="仿宋_GB2312" w:eastAsia="仿宋_GB2312"/>
        </w:rPr>
        <w:t>陕西省森林工业职工医院</w:t>
      </w:r>
      <w:r>
        <w:rPr>
          <w:rFonts w:ascii="仿宋_GB2312" w:hAnsi="仿宋_GB2312" w:cs="仿宋_GB2312" w:eastAsia="仿宋_GB2312"/>
        </w:rPr>
        <w:t>委托，拟对</w:t>
      </w:r>
      <w:r>
        <w:rPr>
          <w:rFonts w:ascii="仿宋_GB2312" w:hAnsi="仿宋_GB2312" w:cs="仿宋_GB2312" w:eastAsia="仿宋_GB2312"/>
        </w:rPr>
        <w:t>绩效薪酬体系及系统开发项目(二次)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SXZBHX2025-16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绩效薪酬体系及系统开发项目(二次)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陕西省森林工业职工医院绩效薪酬体系及系统开发项目。 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采购包1（绩效薪酬体系及系统开发）：属于专门面向中小企业采购。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委托授权书\身份证明：法定代表人（主要负责人）委托代理人参加投标时，应提供法定代表人（主要负责人）委托授权书及法人身份证明；法定代表人（主要负责人）亲自参加投标时，应提供法定代表人（主要负责人）身份证明书。</w:t>
      </w:r>
    </w:p>
    <w:p>
      <w:pPr>
        <w:pStyle w:val="null3"/>
      </w:pPr>
      <w:r>
        <w:rPr>
          <w:rFonts w:ascii="仿宋_GB2312" w:hAnsi="仿宋_GB2312" w:cs="仿宋_GB2312" w:eastAsia="仿宋_GB2312"/>
        </w:rPr>
        <w:t>3、社会保障资金缴纳证明：提供2025年任意连续3个月的社保缴纳证明（社会保障资金缴存单据或社保机构开具的社会保险参保缴费情况证明），单据或证明上应有社保机构或代收机构的公章或业务专用章。依法免缴的提供相关证明材料。</w:t>
      </w:r>
    </w:p>
    <w:p>
      <w:pPr>
        <w:pStyle w:val="null3"/>
      </w:pPr>
      <w:r>
        <w:rPr>
          <w:rFonts w:ascii="仿宋_GB2312" w:hAnsi="仿宋_GB2312" w:cs="仿宋_GB2312" w:eastAsia="仿宋_GB2312"/>
        </w:rPr>
        <w:t>4、税收缴纳证明：提供2025年任意一个月的税收缴纳证明（纳税证明或完税证明，且证明上增值税、营业税、企业所得税至少提供一种），纳税证明或完税证明上应有代收机构或税务机关的公章或业务专用章。依法免缴的提供相关证明材料。</w:t>
      </w:r>
    </w:p>
    <w:p>
      <w:pPr>
        <w:pStyle w:val="null3"/>
      </w:pPr>
      <w:r>
        <w:rPr>
          <w:rFonts w:ascii="仿宋_GB2312" w:hAnsi="仿宋_GB2312" w:cs="仿宋_GB2312" w:eastAsia="仿宋_GB2312"/>
        </w:rPr>
        <w:t>5、无违法记录声明：提供在参加本次采购活动前三年内，在经营活动中没有重大违法记录声明。</w:t>
      </w:r>
    </w:p>
    <w:p>
      <w:pPr>
        <w:pStyle w:val="null3"/>
      </w:pPr>
      <w:r>
        <w:rPr>
          <w:rFonts w:ascii="仿宋_GB2312" w:hAnsi="仿宋_GB2312" w:cs="仿宋_GB2312" w:eastAsia="仿宋_GB2312"/>
        </w:rPr>
        <w:t>6、非联合体投标声明：提供非联合体投标声明。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陕西省森林工业职工医院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西安市鄠邑区画展街9号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陕西省森林工业职工医院经办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029-84812813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陕西盛鑫药械招标有限公司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西安市雁塔区南二环西段88号老三届世纪星大厦28层K座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02981873383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开户名称：陕西盛鑫药械招标有限公司</w:t>
            </w:r>
          </w:p>
          <w:p>
            <w:pPr>
              <w:pStyle w:val="null3"/>
            </w:pPr>
            <w:r>
              <w:rPr>
                <w:rFonts w:ascii="仿宋_GB2312" w:hAnsi="仿宋_GB2312" w:cs="仿宋_GB2312" w:eastAsia="仿宋_GB2312"/>
              </w:rPr>
              <w:t>开户银行：中国工商银行西安吉祥路支行</w:t>
            </w:r>
          </w:p>
          <w:p>
            <w:pPr>
              <w:pStyle w:val="null3"/>
            </w:pPr>
            <w:r>
              <w:rPr>
                <w:rFonts w:ascii="仿宋_GB2312" w:hAnsi="仿宋_GB2312" w:cs="仿宋_GB2312" w:eastAsia="仿宋_GB2312"/>
              </w:rPr>
              <w:t>银行账号：3700079419200031802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说明：中标后7天内提交，服务期满后原路退回</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代理服务费收费标准：按国家发展计划委员会颁发的[2002]1980号文《招标代理服务收费管理暂行办法》的有关规定执行。（代理服务费交费账户同保证金缴纳账户）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陕西省森林工业职工医院</w:t>
      </w:r>
      <w:r>
        <w:rPr>
          <w:rFonts w:ascii="仿宋_GB2312" w:hAnsi="仿宋_GB2312" w:cs="仿宋_GB2312" w:eastAsia="仿宋_GB2312"/>
        </w:rPr>
        <w:t>和</w:t>
      </w:r>
      <w:r>
        <w:rPr>
          <w:rFonts w:ascii="仿宋_GB2312" w:hAnsi="仿宋_GB2312" w:cs="仿宋_GB2312" w:eastAsia="仿宋_GB2312"/>
        </w:rPr>
        <w:t>陕西盛鑫药械招标有限公司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陕西省森林工业职工医院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陕西盛鑫药械招标有限公司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陕西省森林工业职工医院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陕西盛鑫药械招标有限公司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符合国家法律法规标准要求及招标文件、投标响应文件、双方签订合同、补充协议的要求及约定条件。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联系人：陕西省盛鑫药械招标有限公司</w:t>
      </w:r>
    </w:p>
    <w:p>
      <w:pPr>
        <w:pStyle w:val="null3"/>
      </w:pPr>
      <w:r>
        <w:rPr>
          <w:rFonts w:ascii="仿宋_GB2312" w:hAnsi="仿宋_GB2312" w:cs="仿宋_GB2312" w:eastAsia="仿宋_GB2312"/>
        </w:rPr>
        <w:t>联系电话：029-81873383</w:t>
      </w:r>
    </w:p>
    <w:p>
      <w:pPr>
        <w:pStyle w:val="null3"/>
      </w:pPr>
      <w:r>
        <w:rPr>
          <w:rFonts w:ascii="仿宋_GB2312" w:hAnsi="仿宋_GB2312" w:cs="仿宋_GB2312" w:eastAsia="仿宋_GB2312"/>
        </w:rPr>
        <w:t>地址：西安市雁塔区吉祥路298号长海大厦9层901室陕西盛鑫药械招标有限公司</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陕西省森工医院是西安市卫健委批准的参照三级医院管理的综合性医院，编制床位数790张，于2022年通过了电子病历四级测评，正在积极准备和申报医院信息互联互通标准化成熟度四级甲等测评工作。 为进一步推进信息化建设，满足公立医院绩效考核等需求，需在现有信息化建设和应用的基础上进行填平补齐和提升改造，新建绩效薪酬体系及系统开发项目，进一步提升医院服务质量和管理水平。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899,837.77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绩效薪酬体系及系统开发项目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标的名称：绩效薪酬体系及系统开发项目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pPr>
            <w:r>
              <w:rPr>
                <w:rFonts w:ascii="仿宋_GB2312" w:hAnsi="仿宋_GB2312" w:cs="仿宋_GB2312" w:eastAsia="仿宋_GB2312"/>
                <w:sz w:val="28"/>
              </w:rPr>
              <w:t>（一）功能定位：结合医院的周边大环境、医保支付政策、历史绩效方案、省和市绩效改革政策等具体情况，开发订制契合医院特点，以岗位绩效为基础，医疗成果为目标，导向性成果为激励，能够保持人员稳定，充分调动员工积极性，科学合理、符合行业特点的绩效方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pPr>
            <w:r>
              <w:rPr>
                <w:rFonts w:ascii="仿宋_GB2312" w:hAnsi="仿宋_GB2312" w:cs="仿宋_GB2312" w:eastAsia="仿宋_GB2312"/>
                <w:sz w:val="28"/>
              </w:rPr>
              <w:t>（二）项目内容：根据</w:t>
            </w:r>
            <w:r>
              <w:rPr>
                <w:rFonts w:ascii="仿宋_GB2312" w:hAnsi="仿宋_GB2312" w:cs="仿宋_GB2312" w:eastAsia="仿宋_GB2312"/>
                <w:sz w:val="28"/>
              </w:rPr>
              <w:t>2021年7月国务院办公厅印发《深化医药卫生体质改革2021年重点工作任务》提出的“进一步推广三明市医改经验，加快推进医疗医保医药联动改革”的要求和国家薪酬制度改革指导意见，医院所有人员绩效薪酬采用“全院绩效预算管理为基础:“全员岗位绩效+工作成果绩效+专项工作绩效的绩效核算方式</w:t>
            </w:r>
            <w:r>
              <w:rPr>
                <w:rFonts w:ascii="仿宋_GB2312" w:hAnsi="仿宋_GB2312" w:cs="仿宋_GB2312" w:eastAsia="仿宋_GB2312"/>
                <w:sz w:val="28"/>
              </w:rPr>
              <w:t>”</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医院岗位设置分为</w:t>
            </w:r>
            <w:r>
              <w:rPr>
                <w:rFonts w:ascii="仿宋_GB2312" w:hAnsi="仿宋_GB2312" w:cs="仿宋_GB2312" w:eastAsia="仿宋_GB2312"/>
                <w:sz w:val="28"/>
              </w:rPr>
              <w:t>“医生工作岗位、护士工作岗位、医疗技师工作岗位、药学服务工作岗位、行政管理岗位”</w:t>
            </w:r>
            <w:r>
              <w:rPr>
                <w:rFonts w:ascii="仿宋_GB2312" w:hAnsi="仿宋_GB2312" w:cs="仿宋_GB2312" w:eastAsia="仿宋_GB2312"/>
                <w:sz w:val="28"/>
              </w:rPr>
              <w:t>五</w:t>
            </w:r>
            <w:r>
              <w:rPr>
                <w:rFonts w:ascii="仿宋_GB2312" w:hAnsi="仿宋_GB2312" w:cs="仿宋_GB2312" w:eastAsia="仿宋_GB2312"/>
                <w:sz w:val="28"/>
              </w:rPr>
              <w:t>类工作岗位系列。</w:t>
            </w:r>
          </w:p>
          <w:p>
            <w:pPr>
              <w:pStyle w:val="null3"/>
              <w:ind w:firstLine="560"/>
              <w:jc w:val="both"/>
            </w:pPr>
            <w:r>
              <w:rPr>
                <w:rFonts w:ascii="仿宋_GB2312" w:hAnsi="仿宋_GB2312" w:cs="仿宋_GB2312" w:eastAsia="仿宋_GB2312"/>
                <w:sz w:val="28"/>
              </w:rPr>
              <w:t>1、医生岗位职系：医生岗位按照工作内容及性质确定医生岗位。</w:t>
            </w:r>
          </w:p>
          <w:p>
            <w:pPr>
              <w:pStyle w:val="null3"/>
              <w:ind w:firstLine="560"/>
              <w:jc w:val="both"/>
            </w:pPr>
            <w:r>
              <w:rPr>
                <w:rFonts w:ascii="仿宋_GB2312" w:hAnsi="仿宋_GB2312" w:cs="仿宋_GB2312" w:eastAsia="仿宋_GB2312"/>
                <w:sz w:val="28"/>
              </w:rPr>
              <w:t>2、护士岗位职系：护士以科室工作内容及性质为依据确定护理工作岗位。</w:t>
            </w:r>
          </w:p>
          <w:p>
            <w:pPr>
              <w:pStyle w:val="null3"/>
              <w:ind w:firstLine="560"/>
              <w:jc w:val="both"/>
            </w:pPr>
            <w:r>
              <w:rPr>
                <w:rFonts w:ascii="仿宋_GB2312" w:hAnsi="仿宋_GB2312" w:cs="仿宋_GB2312" w:eastAsia="仿宋_GB2312"/>
                <w:sz w:val="28"/>
              </w:rPr>
              <w:t>3、技师工作岗位职系：根据医院技师所属科室的工作内容及性质确定相应的岗位。</w:t>
            </w:r>
          </w:p>
          <w:p>
            <w:pPr>
              <w:pStyle w:val="null3"/>
              <w:ind w:firstLine="560"/>
              <w:jc w:val="both"/>
            </w:pPr>
            <w:r>
              <w:rPr>
                <w:rFonts w:ascii="仿宋_GB2312" w:hAnsi="仿宋_GB2312" w:cs="仿宋_GB2312" w:eastAsia="仿宋_GB2312"/>
                <w:sz w:val="28"/>
              </w:rPr>
              <w:t>4、药学工作岗位职系：根据药学部的工作性质及工作内容确定相应的岗位。</w:t>
            </w:r>
          </w:p>
          <w:p>
            <w:pPr>
              <w:pStyle w:val="null3"/>
              <w:ind w:firstLine="560"/>
              <w:jc w:val="both"/>
            </w:pPr>
            <w:r>
              <w:rPr>
                <w:rFonts w:ascii="仿宋_GB2312" w:hAnsi="仿宋_GB2312" w:cs="仿宋_GB2312" w:eastAsia="仿宋_GB2312"/>
                <w:sz w:val="28"/>
              </w:rPr>
              <w:t>5、行政管理岗位职系：根据岗位管理将行政后勤划分为目标中心、任务中心、效率中心</w:t>
            </w:r>
            <w:r>
              <w:rPr>
                <w:rFonts w:ascii="仿宋_GB2312" w:hAnsi="仿宋_GB2312" w:cs="仿宋_GB2312" w:eastAsia="仿宋_GB2312"/>
                <w:sz w:val="28"/>
              </w:rPr>
              <w:t>等</w:t>
            </w:r>
            <w:r>
              <w:rPr>
                <w:rFonts w:ascii="仿宋_GB2312" w:hAnsi="仿宋_GB2312" w:cs="仿宋_GB2312" w:eastAsia="仿宋_GB2312"/>
                <w:sz w:val="28"/>
              </w:rPr>
              <w:t>岗位</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职工各类岗位工作得分之和构成职工当期岗位工作得分。</w:t>
            </w:r>
          </w:p>
          <w:p>
            <w:pPr>
              <w:pStyle w:val="null3"/>
              <w:ind w:firstLine="560"/>
              <w:jc w:val="both"/>
            </w:pPr>
            <w:r>
              <w:rPr>
                <w:rFonts w:ascii="仿宋_GB2312" w:hAnsi="仿宋_GB2312" w:cs="仿宋_GB2312" w:eastAsia="仿宋_GB2312"/>
                <w:sz w:val="28"/>
              </w:rPr>
              <w:t>岗位工作成果得分：医院按照各类岗位工作性质差异，设置各类岗位成果分值，职工在各个岗位工作成果得分之和构成岗位成果总得分。</w:t>
            </w:r>
          </w:p>
          <w:p>
            <w:pPr>
              <w:pStyle w:val="null3"/>
              <w:ind w:firstLine="560"/>
              <w:jc w:val="both"/>
            </w:pPr>
            <w:r>
              <w:rPr>
                <w:rFonts w:ascii="仿宋_GB2312" w:hAnsi="仿宋_GB2312" w:cs="仿宋_GB2312" w:eastAsia="仿宋_GB2312"/>
                <w:sz w:val="28"/>
              </w:rPr>
              <w:t>职工绩效</w:t>
            </w:r>
            <w:r>
              <w:rPr>
                <w:rFonts w:ascii="仿宋_GB2312" w:hAnsi="仿宋_GB2312" w:cs="仿宋_GB2312" w:eastAsia="仿宋_GB2312"/>
                <w:sz w:val="28"/>
              </w:rPr>
              <w:t>=岗位</w:t>
            </w:r>
            <w:r>
              <w:rPr>
                <w:rFonts w:ascii="仿宋_GB2312" w:hAnsi="仿宋_GB2312" w:cs="仿宋_GB2312" w:eastAsia="仿宋_GB2312"/>
                <w:sz w:val="28"/>
              </w:rPr>
              <w:t>得分</w:t>
            </w:r>
            <w:r>
              <w:rPr>
                <w:rFonts w:ascii="仿宋_GB2312" w:hAnsi="仿宋_GB2312" w:cs="仿宋_GB2312" w:eastAsia="仿宋_GB2312"/>
                <w:sz w:val="28"/>
              </w:rPr>
              <w:t>+岗位工作成果得分</w:t>
            </w:r>
          </w:p>
          <w:p>
            <w:pPr>
              <w:pStyle w:val="null3"/>
              <w:ind w:firstLine="560"/>
              <w:jc w:val="both"/>
            </w:pPr>
            <w:r>
              <w:rPr>
                <w:rFonts w:ascii="仿宋_GB2312" w:hAnsi="仿宋_GB2312" w:cs="仿宋_GB2312" w:eastAsia="仿宋_GB2312"/>
                <w:sz w:val="28"/>
              </w:rPr>
              <w:t>以上岗位的绩效核算办法采用垂直分配模式，即医院将岗位绩效一次分配到个人。</w:t>
            </w:r>
          </w:p>
          <w:p>
            <w:pPr>
              <w:pStyle w:val="null3"/>
              <w:ind w:firstLine="560"/>
              <w:jc w:val="both"/>
            </w:pPr>
            <w:r>
              <w:rPr>
                <w:rFonts w:ascii="仿宋_GB2312" w:hAnsi="仿宋_GB2312" w:cs="仿宋_GB2312" w:eastAsia="仿宋_GB2312"/>
                <w:sz w:val="28"/>
              </w:rPr>
              <w:t>院级一次分配绩效核算</w:t>
            </w:r>
            <w:r>
              <w:rPr>
                <w:rFonts w:ascii="仿宋_GB2312" w:hAnsi="仿宋_GB2312" w:cs="仿宋_GB2312" w:eastAsia="仿宋_GB2312"/>
                <w:sz w:val="28"/>
              </w:rPr>
              <w:t>: 院级核算按照临床科室、医技科室、药学科室、管理（职能后勤）科室分类核算，同类科室按照服务方式不同设置不同的核算办法。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8"/>
              </w:rPr>
              <w:t>（三）具体服务及技术参数内容</w:t>
            </w:r>
          </w:p>
          <w:p>
            <w:pPr>
              <w:pStyle w:val="null3"/>
              <w:ind w:firstLine="560"/>
              <w:jc w:val="left"/>
            </w:pPr>
            <w:r>
              <w:rPr>
                <w:rFonts w:ascii="仿宋_GB2312" w:hAnsi="仿宋_GB2312" w:cs="仿宋_GB2312" w:eastAsia="仿宋_GB2312"/>
                <w:sz w:val="28"/>
              </w:rPr>
              <w:t>本项目为</w:t>
            </w:r>
            <w:r>
              <w:rPr>
                <w:rFonts w:ascii="仿宋_GB2312" w:hAnsi="仿宋_GB2312" w:cs="仿宋_GB2312" w:eastAsia="仿宋_GB2312"/>
                <w:sz w:val="28"/>
              </w:rPr>
              <w:t>采购单位</w:t>
            </w:r>
            <w:r>
              <w:rPr>
                <w:rFonts w:ascii="仿宋_GB2312" w:hAnsi="仿宋_GB2312" w:cs="仿宋_GB2312" w:eastAsia="仿宋_GB2312"/>
                <w:sz w:val="28"/>
              </w:rPr>
              <w:t>定岗定编与绩效管理咨询服务，旨在优化医院人力资源配置，建立科学有效的绩效管理体系，提升医院运营效率与服务质量，推动医院高质量发展。基于定岗定编</w:t>
            </w:r>
            <w:r>
              <w:rPr>
                <w:rFonts w:ascii="仿宋_GB2312" w:hAnsi="仿宋_GB2312" w:cs="仿宋_GB2312" w:eastAsia="仿宋_GB2312"/>
                <w:sz w:val="28"/>
              </w:rPr>
              <w:t>“一科一策” 个性化绩效方案，精准匹配各科室特性，实现差异化管理，激发科室活力。</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定岗定编模块技术参数</w:t>
            </w:r>
          </w:p>
          <w:p>
            <w:pPr>
              <w:pStyle w:val="null3"/>
              <w:ind w:firstLine="562"/>
              <w:jc w:val="left"/>
            </w:pPr>
            <w:r>
              <w:rPr>
                <w:rFonts w:ascii="仿宋_GB2312" w:hAnsi="仿宋_GB2312" w:cs="仿宋_GB2312" w:eastAsia="仿宋_GB2312"/>
                <w:sz w:val="28"/>
                <w:b/>
              </w:rPr>
              <w:t>1.1 组织结构梳理要求</w:t>
            </w:r>
          </w:p>
          <w:p>
            <w:pPr>
              <w:pStyle w:val="null3"/>
              <w:ind w:firstLine="560"/>
              <w:jc w:val="left"/>
            </w:pPr>
            <w:r>
              <w:rPr>
                <w:rFonts w:ascii="仿宋_GB2312" w:hAnsi="仿宋_GB2312" w:cs="仿宋_GB2312" w:eastAsia="仿宋_GB2312"/>
                <w:sz w:val="28"/>
              </w:rPr>
              <w:t>1.1.1 须基于</w:t>
            </w:r>
            <w:r>
              <w:rPr>
                <w:rFonts w:ascii="仿宋_GB2312" w:hAnsi="仿宋_GB2312" w:cs="仿宋_GB2312" w:eastAsia="仿宋_GB2312"/>
                <w:sz w:val="28"/>
              </w:rPr>
              <w:t>采购单位</w:t>
            </w:r>
            <w:r>
              <w:rPr>
                <w:rFonts w:ascii="仿宋_GB2312" w:hAnsi="仿宋_GB2312" w:cs="仿宋_GB2312" w:eastAsia="仿宋_GB2312"/>
                <w:sz w:val="28"/>
              </w:rPr>
              <w:t>现行组织架构，严格遵循国家及三甲级公立医院评审标准，对医院组织结构进行全面、深入梳理。</w:t>
            </w:r>
          </w:p>
          <w:p>
            <w:pPr>
              <w:pStyle w:val="null3"/>
              <w:ind w:firstLine="560"/>
              <w:jc w:val="left"/>
            </w:pPr>
            <w:r>
              <w:rPr>
                <w:rFonts w:ascii="仿宋_GB2312" w:hAnsi="仿宋_GB2312" w:cs="仿宋_GB2312" w:eastAsia="仿宋_GB2312"/>
                <w:sz w:val="28"/>
              </w:rPr>
              <w:t>1.1.2 清晰界定各组织单元的部门职责，明确其目标任务，形成详细的职责与任务说明书，确保职责无交叉、无遗漏，目标任务可量化、可考核。</w:t>
            </w:r>
          </w:p>
          <w:p>
            <w:pPr>
              <w:pStyle w:val="null3"/>
              <w:ind w:firstLine="562"/>
              <w:jc w:val="left"/>
            </w:pPr>
            <w:r>
              <w:rPr>
                <w:rFonts w:ascii="仿宋_GB2312" w:hAnsi="仿宋_GB2312" w:cs="仿宋_GB2312" w:eastAsia="仿宋_GB2312"/>
                <w:sz w:val="28"/>
                <w:b/>
              </w:rPr>
              <w:t>1.2 岗位与编制确定要求</w:t>
            </w:r>
          </w:p>
          <w:p>
            <w:pPr>
              <w:pStyle w:val="null3"/>
              <w:ind w:firstLine="560"/>
              <w:jc w:val="left"/>
            </w:pPr>
            <w:r>
              <w:rPr>
                <w:rFonts w:ascii="仿宋_GB2312" w:hAnsi="仿宋_GB2312" w:cs="仿宋_GB2312" w:eastAsia="仿宋_GB2312"/>
                <w:sz w:val="28"/>
              </w:rPr>
              <w:t>1.2.1 临床科室医疗人员：</w:t>
            </w:r>
          </w:p>
          <w:p>
            <w:pPr>
              <w:pStyle w:val="null3"/>
              <w:ind w:firstLine="560"/>
              <w:jc w:val="left"/>
            </w:pPr>
            <w:r>
              <w:rPr>
                <w:rFonts w:ascii="仿宋_GB2312" w:hAnsi="仿宋_GB2312" w:cs="仿宋_GB2312" w:eastAsia="仿宋_GB2312"/>
                <w:sz w:val="28"/>
              </w:rPr>
              <w:t>依据《医疗机构管理条例》《医疗机构基本标准》《三级医院评审标准》等国家相关标准及规范，综合考量门诊量工作量、床位目标使用率、病种平均住院日等因素，基于 “一科一策” 原则，针对不同临床科室诊疗特色、技术难度、科研教学需求等差异，科学设置全时岗位与分时岗位，制定完善的岗位说明书，明确岗位准入标准、岗位胜任力标准、岗位成果评价标准，合理确定岗位编制数据。</w:t>
            </w:r>
          </w:p>
          <w:p>
            <w:pPr>
              <w:pStyle w:val="null3"/>
              <w:ind w:firstLine="560"/>
              <w:jc w:val="left"/>
            </w:pPr>
            <w:r>
              <w:rPr>
                <w:rFonts w:ascii="仿宋_GB2312" w:hAnsi="仿宋_GB2312" w:cs="仿宋_GB2312" w:eastAsia="仿宋_GB2312"/>
                <w:sz w:val="28"/>
              </w:rPr>
              <w:t>1.2.2 临床科室或（病区）护士及护理人员：</w:t>
            </w:r>
          </w:p>
          <w:p>
            <w:pPr>
              <w:pStyle w:val="null3"/>
              <w:ind w:firstLine="560"/>
              <w:jc w:val="left"/>
            </w:pPr>
            <w:r>
              <w:rPr>
                <w:rFonts w:ascii="仿宋_GB2312" w:hAnsi="仿宋_GB2312" w:cs="仿宋_GB2312" w:eastAsia="仿宋_GB2312"/>
                <w:sz w:val="28"/>
              </w:rPr>
              <w:t>以优质护理 + 责任制护理为基本准则，综合考虑护士与护理人员护理病人数量（区分护理级别）等因素，依据各科室护理工作强度、专科护理要求等不同，基于 “一科一策”</w:t>
            </w:r>
            <w:r>
              <w:rPr>
                <w:rFonts w:ascii="仿宋_GB2312" w:hAnsi="仿宋_GB2312" w:cs="仿宋_GB2312" w:eastAsia="仿宋_GB2312"/>
                <w:sz w:val="28"/>
              </w:rPr>
              <w:t>原则</w:t>
            </w:r>
            <w:r>
              <w:rPr>
                <w:rFonts w:ascii="仿宋_GB2312" w:hAnsi="仿宋_GB2312" w:cs="仿宋_GB2312" w:eastAsia="仿宋_GB2312"/>
                <w:sz w:val="28"/>
              </w:rPr>
              <w:t>制定岗位说明书，设置合理的护理岗位（含全时岗位和分时岗位），制定岗位胜任力标准、岗位准入标准、岗位协同要求，精准确定岗位编制数。</w:t>
            </w:r>
          </w:p>
          <w:p>
            <w:pPr>
              <w:pStyle w:val="null3"/>
              <w:ind w:firstLine="560"/>
              <w:jc w:val="left"/>
            </w:pPr>
            <w:r>
              <w:rPr>
                <w:rFonts w:ascii="仿宋_GB2312" w:hAnsi="仿宋_GB2312" w:cs="仿宋_GB2312" w:eastAsia="仿宋_GB2312"/>
                <w:sz w:val="28"/>
              </w:rPr>
              <w:t>1.2.3 医技科室岗位：</w:t>
            </w:r>
          </w:p>
          <w:p>
            <w:pPr>
              <w:pStyle w:val="null3"/>
              <w:ind w:firstLine="560"/>
              <w:jc w:val="left"/>
            </w:pPr>
            <w:r>
              <w:rPr>
                <w:rFonts w:ascii="仿宋_GB2312" w:hAnsi="仿宋_GB2312" w:cs="仿宋_GB2312" w:eastAsia="仿宋_GB2312"/>
                <w:sz w:val="28"/>
              </w:rPr>
              <w:t>结合科室职责、延伸服务</w:t>
            </w:r>
            <w:r>
              <w:rPr>
                <w:rFonts w:ascii="仿宋_GB2312" w:hAnsi="仿宋_GB2312" w:cs="仿宋_GB2312" w:eastAsia="仿宋_GB2312"/>
                <w:sz w:val="28"/>
              </w:rPr>
              <w:t>、</w:t>
            </w:r>
            <w:r>
              <w:rPr>
                <w:rFonts w:ascii="仿宋_GB2312" w:hAnsi="仿宋_GB2312" w:cs="仿宋_GB2312" w:eastAsia="仿宋_GB2312"/>
                <w:sz w:val="28"/>
              </w:rPr>
              <w:t>临床需求等因素，根据各医技科室设备特性、业务流程、服务对象差异，遵循</w:t>
            </w:r>
            <w:r>
              <w:rPr>
                <w:rFonts w:ascii="仿宋_GB2312" w:hAnsi="仿宋_GB2312" w:cs="仿宋_GB2312" w:eastAsia="仿宋_GB2312"/>
                <w:sz w:val="28"/>
              </w:rPr>
              <w:t>“一科一策”</w:t>
            </w:r>
            <w:r>
              <w:rPr>
                <w:rFonts w:ascii="仿宋_GB2312" w:hAnsi="仿宋_GB2312" w:cs="仿宋_GB2312" w:eastAsia="仿宋_GB2312"/>
                <w:sz w:val="28"/>
              </w:rPr>
              <w:t>原则</w:t>
            </w:r>
            <w:r>
              <w:rPr>
                <w:rFonts w:ascii="仿宋_GB2312" w:hAnsi="仿宋_GB2312" w:cs="仿宋_GB2312" w:eastAsia="仿宋_GB2312"/>
                <w:sz w:val="28"/>
              </w:rPr>
              <w:t>制定详细的岗位说明书，科学设置岗位（全时岗位，分时岗位），、岗位准入标准、岗位胜任力标准、岗位成果评价标准，合理设置岗位编制数量。</w:t>
            </w:r>
          </w:p>
          <w:p>
            <w:pPr>
              <w:pStyle w:val="null3"/>
              <w:ind w:firstLine="560"/>
              <w:jc w:val="left"/>
            </w:pPr>
            <w:r>
              <w:rPr>
                <w:rFonts w:ascii="仿宋_GB2312" w:hAnsi="仿宋_GB2312" w:cs="仿宋_GB2312" w:eastAsia="仿宋_GB2312"/>
                <w:sz w:val="28"/>
              </w:rPr>
              <w:t>1.2.4 职能科室：</w:t>
            </w:r>
          </w:p>
          <w:p>
            <w:pPr>
              <w:pStyle w:val="null3"/>
              <w:ind w:firstLine="560"/>
              <w:jc w:val="left"/>
            </w:pPr>
            <w:r>
              <w:rPr>
                <w:rFonts w:ascii="仿宋_GB2312" w:hAnsi="仿宋_GB2312" w:cs="仿宋_GB2312" w:eastAsia="仿宋_GB2312"/>
                <w:sz w:val="28"/>
              </w:rPr>
              <w:t>根据科室管理职责功能定位、工作目标、工作量以及特殊工作要求等因素，以程序化工作内容为基础，兼顾评估项目化工作频次与内容制定岗位说明书</w:t>
            </w:r>
            <w:r>
              <w:rPr>
                <w:rFonts w:ascii="仿宋_GB2312" w:hAnsi="仿宋_GB2312" w:cs="仿宋_GB2312" w:eastAsia="仿宋_GB2312"/>
                <w:sz w:val="28"/>
              </w:rPr>
              <w:t>，</w:t>
            </w:r>
            <w:r>
              <w:rPr>
                <w:rFonts w:ascii="仿宋_GB2312" w:hAnsi="仿宋_GB2312" w:cs="仿宋_GB2312" w:eastAsia="仿宋_GB2312"/>
                <w:sz w:val="28"/>
              </w:rPr>
              <w:t>科学设置岗位（全时岗位，分时岗位），岗位准入标准、岗位胜任力标准、岗位成果评价标准、人岗匹配设置表，合理确定岗位编制数。</w:t>
            </w:r>
          </w:p>
          <w:p>
            <w:pPr>
              <w:pStyle w:val="null3"/>
              <w:ind w:firstLine="560"/>
              <w:jc w:val="left"/>
            </w:pPr>
            <w:r>
              <w:rPr>
                <w:rFonts w:ascii="仿宋_GB2312" w:hAnsi="仿宋_GB2312" w:cs="仿宋_GB2312" w:eastAsia="仿宋_GB2312"/>
                <w:sz w:val="28"/>
              </w:rPr>
              <w:t>1.2.5 后勤人员：</w:t>
            </w:r>
          </w:p>
          <w:p>
            <w:pPr>
              <w:pStyle w:val="null3"/>
              <w:ind w:firstLine="560"/>
              <w:jc w:val="left"/>
            </w:pPr>
            <w:r>
              <w:rPr>
                <w:rFonts w:ascii="仿宋_GB2312" w:hAnsi="仿宋_GB2312" w:cs="仿宋_GB2312" w:eastAsia="仿宋_GB2312"/>
                <w:sz w:val="28"/>
              </w:rPr>
              <w:t>根</w:t>
            </w:r>
            <w:r>
              <w:rPr>
                <w:rFonts w:ascii="仿宋_GB2312" w:hAnsi="仿宋_GB2312" w:cs="仿宋_GB2312" w:eastAsia="仿宋_GB2312"/>
                <w:sz w:val="28"/>
              </w:rPr>
              <w:t>据工作量、工作效率、服务满意度标准、成本管理目标、安全管理要求以及</w:t>
            </w:r>
            <w:r>
              <w:rPr>
                <w:rFonts w:ascii="仿宋_GB2312" w:hAnsi="仿宋_GB2312" w:cs="仿宋_GB2312" w:eastAsia="仿宋_GB2312"/>
                <w:sz w:val="28"/>
              </w:rPr>
              <w:t>“人防技防”水平、值班要求等因素制定岗位说明书、</w:t>
            </w:r>
            <w:r>
              <w:rPr>
                <w:rFonts w:ascii="仿宋_GB2312" w:hAnsi="仿宋_GB2312" w:cs="仿宋_GB2312" w:eastAsia="仿宋_GB2312"/>
                <w:sz w:val="28"/>
              </w:rPr>
              <w:t>，</w:t>
            </w:r>
            <w:r>
              <w:rPr>
                <w:rFonts w:ascii="仿宋_GB2312" w:hAnsi="仿宋_GB2312" w:cs="仿宋_GB2312" w:eastAsia="仿宋_GB2312"/>
                <w:sz w:val="28"/>
              </w:rPr>
              <w:t>科学设置岗位（全时岗位，分时岗位），岗位准入标准、岗位胜任力标准、岗位成果评价标准，合理设置岗位编制数。</w:t>
            </w:r>
          </w:p>
          <w:p>
            <w:pPr>
              <w:pStyle w:val="null3"/>
              <w:ind w:firstLine="562"/>
              <w:jc w:val="left"/>
            </w:pPr>
            <w:r>
              <w:rPr>
                <w:rFonts w:ascii="仿宋_GB2312" w:hAnsi="仿宋_GB2312" w:cs="仿宋_GB2312" w:eastAsia="仿宋_GB2312"/>
                <w:sz w:val="28"/>
                <w:b/>
              </w:rPr>
              <w:t>1.3 政策依据要求</w:t>
            </w:r>
          </w:p>
          <w:p>
            <w:pPr>
              <w:pStyle w:val="null3"/>
              <w:ind w:firstLine="560"/>
              <w:jc w:val="left"/>
            </w:pPr>
            <w:r>
              <w:rPr>
                <w:rFonts w:ascii="仿宋_GB2312" w:hAnsi="仿宋_GB2312" w:cs="仿宋_GB2312" w:eastAsia="仿宋_GB2312"/>
                <w:sz w:val="28"/>
              </w:rPr>
              <w:t>1.3.1 岗位定编必须严格以国家卫健委有关医疗机构设置、等级医院评审以及相关的制度与规定为依据，包括但不限于《医疗机构管理条例》《医疗机构基本标准》《三级医院评审标准》《公立医院内部控制管理办法》《国家卫生健康委办公厅关于进一步加强医疗卫生事业单位法治建设的通知》等文件中涉及定岗定编相关要求。</w:t>
            </w:r>
          </w:p>
          <w:p>
            <w:pPr>
              <w:pStyle w:val="null3"/>
              <w:ind w:firstLine="560"/>
              <w:jc w:val="left"/>
            </w:pPr>
            <w:r>
              <w:rPr>
                <w:rFonts w:ascii="仿宋_GB2312" w:hAnsi="仿宋_GB2312" w:cs="仿宋_GB2312" w:eastAsia="仿宋_GB2312"/>
                <w:sz w:val="28"/>
              </w:rPr>
              <w:t xml:space="preserve">1.3.2 各专业或学科需参考国家卫健委（原卫生部或卫健委）发布的相关建设与管理指南、规范，如《卫健委关于实施医院护士岗位管理的指导意见》等。   </w:t>
            </w:r>
          </w:p>
          <w:p>
            <w:pPr>
              <w:pStyle w:val="null3"/>
              <w:ind w:firstLine="560"/>
              <w:jc w:val="left"/>
            </w:pPr>
            <w:r>
              <w:rPr>
                <w:rFonts w:ascii="仿宋_GB2312" w:hAnsi="仿宋_GB2312" w:cs="仿宋_GB2312" w:eastAsia="仿宋_GB2312"/>
                <w:sz w:val="28"/>
              </w:rPr>
              <w:t>1.3.3 充分考虑</w:t>
            </w:r>
            <w:r>
              <w:rPr>
                <w:rFonts w:ascii="仿宋_GB2312" w:hAnsi="仿宋_GB2312" w:cs="仿宋_GB2312" w:eastAsia="仿宋_GB2312"/>
                <w:sz w:val="28"/>
              </w:rPr>
              <w:t>采购单位</w:t>
            </w:r>
            <w:r>
              <w:rPr>
                <w:rFonts w:ascii="仿宋_GB2312" w:hAnsi="仿宋_GB2312" w:cs="仿宋_GB2312" w:eastAsia="仿宋_GB2312"/>
                <w:sz w:val="28"/>
              </w:rPr>
              <w:t>的</w:t>
            </w:r>
            <w:r>
              <w:rPr>
                <w:rFonts w:ascii="仿宋_GB2312" w:hAnsi="仿宋_GB2312" w:cs="仿宋_GB2312" w:eastAsia="仿宋_GB2312"/>
                <w:sz w:val="28"/>
              </w:rPr>
              <w:t>实际情况</w:t>
            </w:r>
            <w:r>
              <w:rPr>
                <w:rFonts w:ascii="仿宋_GB2312" w:hAnsi="仿宋_GB2312" w:cs="仿宋_GB2312" w:eastAsia="仿宋_GB2312"/>
                <w:sz w:val="28"/>
              </w:rPr>
              <w:t>，依据有关部门对医院管理的要求，并参考国内同等规模医院的定岗定编经验，制定采购人所需各类岗位设置说明书。且要求投标人提交各类参考。</w:t>
            </w:r>
          </w:p>
          <w:p>
            <w:pPr>
              <w:pStyle w:val="null3"/>
              <w:ind w:firstLine="562"/>
              <w:jc w:val="left"/>
            </w:pPr>
            <w:r>
              <w:rPr>
                <w:rFonts w:ascii="仿宋_GB2312" w:hAnsi="仿宋_GB2312" w:cs="仿宋_GB2312" w:eastAsia="仿宋_GB2312"/>
                <w:sz w:val="28"/>
                <w:b/>
              </w:rPr>
              <w:t>1.4 方案匹配与优化要求</w:t>
            </w:r>
          </w:p>
          <w:p>
            <w:pPr>
              <w:pStyle w:val="null3"/>
              <w:ind w:firstLine="560"/>
              <w:jc w:val="left"/>
            </w:pPr>
            <w:r>
              <w:rPr>
                <w:rFonts w:ascii="仿宋_GB2312" w:hAnsi="仿宋_GB2312" w:cs="仿宋_GB2312" w:eastAsia="仿宋_GB2312"/>
                <w:sz w:val="28"/>
              </w:rPr>
              <w:t>1.4.1 整体定岗定编方案应与当前医改政策、森工医院战略发展规划与实际运行情况高度匹配，有效优化医院组织结构设计，确保 “一科一策” 方案与医院整体战略协同。</w:t>
            </w:r>
          </w:p>
          <w:p>
            <w:pPr>
              <w:pStyle w:val="null3"/>
              <w:ind w:firstLine="560"/>
              <w:jc w:val="left"/>
            </w:pPr>
            <w:r>
              <w:rPr>
                <w:rFonts w:ascii="仿宋_GB2312" w:hAnsi="仿宋_GB2312" w:cs="仿宋_GB2312" w:eastAsia="仿宋_GB2312"/>
                <w:sz w:val="28"/>
              </w:rPr>
              <w:t>1.4.2 定岗定编结果应便于医院将人工成本预算、绩效工资分配额度预算等有机结合，通过定编管理、人员经费总额管控等措施，显著提高医院运营效率与效能，推动医院实现高质量、可持续发展，同时为 “一科一策” 绩效方案提供人力成本数据支持。</w:t>
            </w:r>
          </w:p>
          <w:p>
            <w:pPr>
              <w:pStyle w:val="null3"/>
              <w:ind w:firstLine="562"/>
              <w:jc w:val="left"/>
            </w:pPr>
            <w:r>
              <w:rPr>
                <w:rFonts w:ascii="仿宋_GB2312" w:hAnsi="仿宋_GB2312" w:cs="仿宋_GB2312" w:eastAsia="仿宋_GB2312"/>
                <w:sz w:val="28"/>
                <w:b/>
              </w:rPr>
              <w:t>1.5 动态管理与数据服务要求</w:t>
            </w:r>
          </w:p>
          <w:p>
            <w:pPr>
              <w:pStyle w:val="null3"/>
              <w:ind w:firstLine="560"/>
              <w:jc w:val="left"/>
            </w:pPr>
            <w:r>
              <w:rPr>
                <w:rFonts w:ascii="仿宋_GB2312" w:hAnsi="仿宋_GB2312" w:cs="仿宋_GB2312" w:eastAsia="仿宋_GB2312"/>
                <w:sz w:val="28"/>
              </w:rPr>
              <w:t>1.5.1 在配套软件中必</w:t>
            </w:r>
            <w:r>
              <w:rPr>
                <w:rFonts w:ascii="仿宋_GB2312" w:hAnsi="仿宋_GB2312" w:cs="仿宋_GB2312" w:eastAsia="仿宋_GB2312"/>
                <w:sz w:val="28"/>
              </w:rPr>
              <w:t>须增设</w:t>
            </w:r>
            <w:r>
              <w:rPr>
                <w:rFonts w:ascii="仿宋_GB2312" w:hAnsi="仿宋_GB2312" w:cs="仿宋_GB2312" w:eastAsia="仿宋_GB2312"/>
                <w:sz w:val="28"/>
              </w:rPr>
              <w:t>“</w:t>
            </w:r>
            <w:r>
              <w:rPr>
                <w:rFonts w:ascii="仿宋_GB2312" w:hAnsi="仿宋_GB2312" w:cs="仿宋_GB2312" w:eastAsia="仿宋_GB2312"/>
                <w:sz w:val="28"/>
              </w:rPr>
              <w:t>岗位动态管理模块</w:t>
            </w:r>
            <w:r>
              <w:rPr>
                <w:rFonts w:ascii="仿宋_GB2312" w:hAnsi="仿宋_GB2312" w:cs="仿宋_GB2312" w:eastAsia="仿宋_GB2312"/>
                <w:sz w:val="28"/>
              </w:rPr>
              <w:t>”</w:t>
            </w:r>
            <w:r>
              <w:rPr>
                <w:rFonts w:ascii="仿宋_GB2312" w:hAnsi="仿宋_GB2312" w:cs="仿宋_GB2312" w:eastAsia="仿宋_GB2312"/>
                <w:sz w:val="28"/>
              </w:rPr>
              <w:t>，该模块应具备根据未来医院业务扩展（如新增科室、开展新业务项目）及业务量变化，自动预警人力缺口的功能，为</w:t>
            </w:r>
            <w:r>
              <w:rPr>
                <w:rFonts w:ascii="仿宋_GB2312" w:hAnsi="仿宋_GB2312" w:cs="仿宋_GB2312" w:eastAsia="仿宋_GB2312"/>
                <w:sz w:val="28"/>
              </w:rPr>
              <w:t>“一科一策” 方案动态调整提供数据依据。</w:t>
            </w:r>
          </w:p>
          <w:p>
            <w:pPr>
              <w:pStyle w:val="null3"/>
              <w:ind w:firstLine="560"/>
              <w:jc w:val="left"/>
            </w:pPr>
            <w:r>
              <w:rPr>
                <w:rFonts w:ascii="仿宋_GB2312" w:hAnsi="仿宋_GB2312" w:cs="仿宋_GB2312" w:eastAsia="仿宋_GB2312"/>
                <w:sz w:val="28"/>
              </w:rPr>
              <w:t>1.5.2 中标方需为医院提供年度数据更新服务，确保岗位动态管理模块数据的及时性、准确性与有效性。</w:t>
            </w:r>
          </w:p>
          <w:p>
            <w:pPr>
              <w:pStyle w:val="null3"/>
              <w:ind w:firstLine="562"/>
              <w:jc w:val="left"/>
            </w:pPr>
            <w:r>
              <w:rPr>
                <w:rFonts w:ascii="仿宋_GB2312" w:hAnsi="仿宋_GB2312" w:cs="仿宋_GB2312" w:eastAsia="仿宋_GB2312"/>
                <w:sz w:val="28"/>
                <w:b/>
              </w:rPr>
              <w:t>1.6 培训服务要求</w:t>
            </w:r>
          </w:p>
          <w:p>
            <w:pPr>
              <w:pStyle w:val="null3"/>
              <w:ind w:firstLine="560"/>
              <w:jc w:val="left"/>
            </w:pPr>
            <w:r>
              <w:rPr>
                <w:rFonts w:ascii="仿宋_GB2312" w:hAnsi="仿宋_GB2312" w:cs="仿宋_GB2312" w:eastAsia="仿宋_GB2312"/>
                <w:sz w:val="28"/>
              </w:rPr>
              <w:t>1.6.1 中标方应提供完整的培训资料，包括操作手册、模拟演练方案等，对 “一科一策” 方案进行专项讲解培训。</w:t>
            </w:r>
          </w:p>
          <w:p>
            <w:pPr>
              <w:pStyle w:val="null3"/>
              <w:ind w:firstLine="560"/>
              <w:jc w:val="left"/>
            </w:pPr>
            <w:r>
              <w:rPr>
                <w:rFonts w:ascii="仿宋_GB2312" w:hAnsi="仿宋_GB2312" w:cs="仿宋_GB2312" w:eastAsia="仿宋_GB2312"/>
                <w:sz w:val="28"/>
              </w:rPr>
              <w:t>1.6.2 制定详细的分批次培训计划，至少开展 2 次全员培训（如软件操作专项培训），确保医院相关人员熟练掌握定岗定编系统的操作与应用，同时理解 “一科一策” 方案内涵与实施要点。</w:t>
            </w:r>
          </w:p>
          <w:p>
            <w:pPr>
              <w:pStyle w:val="null3"/>
              <w:ind w:firstLine="562"/>
              <w:jc w:val="both"/>
            </w:pPr>
            <w:r>
              <w:rPr>
                <w:rFonts w:ascii="仿宋_GB2312" w:hAnsi="仿宋_GB2312" w:cs="仿宋_GB2312" w:eastAsia="仿宋_GB2312"/>
                <w:sz w:val="28"/>
                <w:b/>
              </w:rPr>
              <w:t>1.7项目团队要求</w:t>
            </w:r>
            <w:r>
              <w:rPr>
                <w:rFonts w:ascii="仿宋_GB2312" w:hAnsi="仿宋_GB2312" w:cs="仿宋_GB2312" w:eastAsia="仿宋_GB2312"/>
                <w:sz w:val="28"/>
                <w:color w:val="000000"/>
              </w:rPr>
              <w:t>：</w:t>
            </w:r>
          </w:p>
          <w:p>
            <w:pPr>
              <w:pStyle w:val="null3"/>
              <w:ind w:firstLine="544"/>
              <w:jc w:val="both"/>
            </w:pPr>
            <w:r>
              <w:rPr>
                <w:rFonts w:ascii="仿宋_GB2312" w:hAnsi="仿宋_GB2312" w:cs="仿宋_GB2312" w:eastAsia="仿宋_GB2312"/>
                <w:sz w:val="28"/>
                <w:color w:val="000000"/>
              </w:rPr>
              <w:t>1.7.1提供不少于5人的项目团队。</w:t>
            </w:r>
          </w:p>
          <w:p>
            <w:pPr>
              <w:pStyle w:val="null3"/>
              <w:ind w:firstLine="544"/>
              <w:jc w:val="both"/>
            </w:pPr>
            <w:r>
              <w:rPr>
                <w:rFonts w:ascii="仿宋_GB2312" w:hAnsi="仿宋_GB2312" w:cs="仿宋_GB2312" w:eastAsia="仿宋_GB2312"/>
                <w:sz w:val="28"/>
                <w:color w:val="000000"/>
              </w:rPr>
              <w:t>1.7.2团队人员中项目经理具有同类医疗机构的绩效管理项目的服务经验。</w:t>
            </w:r>
          </w:p>
          <w:p>
            <w:pPr>
              <w:pStyle w:val="null3"/>
              <w:ind w:firstLine="560"/>
              <w:jc w:val="both"/>
            </w:pPr>
            <w:r>
              <w:rPr>
                <w:rFonts w:ascii="仿宋_GB2312" w:hAnsi="仿宋_GB2312" w:cs="仿宋_GB2312" w:eastAsia="仿宋_GB2312"/>
                <w:sz w:val="28"/>
              </w:rPr>
              <w:t>1.7.3</w:t>
            </w:r>
            <w:r>
              <w:rPr>
                <w:rFonts w:ascii="仿宋_GB2312" w:hAnsi="仿宋_GB2312" w:cs="仿宋_GB2312" w:eastAsia="仿宋_GB2312"/>
                <w:sz w:val="28"/>
                <w:color w:val="000000"/>
              </w:rPr>
              <w:t>除项目经理外其它团队成员，须具有同类医疗机构类似咨询绩效管理和绩效工资分配的服务经验。</w:t>
            </w:r>
          </w:p>
          <w:p>
            <w:pPr>
              <w:pStyle w:val="null3"/>
              <w:ind w:firstLine="560"/>
              <w:jc w:val="left"/>
            </w:pPr>
            <w:r>
              <w:rPr>
                <w:rFonts w:ascii="仿宋_GB2312" w:hAnsi="仿宋_GB2312" w:cs="仿宋_GB2312" w:eastAsia="仿宋_GB2312"/>
                <w:sz w:val="28"/>
              </w:rPr>
              <w:t>1.7.4项目团队成员里，须配备持有医疗、护理、财务方面高级职称证书的人员。</w:t>
            </w:r>
          </w:p>
          <w:p>
            <w:pPr>
              <w:pStyle w:val="null3"/>
              <w:ind w:firstLine="560"/>
              <w:jc w:val="left"/>
            </w:pPr>
            <w:r>
              <w:rPr>
                <w:rFonts w:ascii="仿宋_GB2312" w:hAnsi="仿宋_GB2312" w:cs="仿宋_GB2312" w:eastAsia="仿宋_GB2312"/>
                <w:sz w:val="28"/>
              </w:rPr>
              <w:t>1.7.5项目实施中途更换实施人员，要经过医院同意，以保证服务质量。</w:t>
            </w:r>
          </w:p>
          <w:p>
            <w:pPr>
              <w:pStyle w:val="null3"/>
              <w:ind w:firstLine="562"/>
              <w:jc w:val="left"/>
            </w:pPr>
            <w:r>
              <w:rPr>
                <w:rFonts w:ascii="仿宋_GB2312" w:hAnsi="仿宋_GB2312" w:cs="仿宋_GB2312" w:eastAsia="仿宋_GB2312"/>
                <w:sz w:val="28"/>
                <w:b/>
              </w:rPr>
              <w:t>1.8 成效要求</w:t>
            </w:r>
          </w:p>
          <w:tbl>
            <w:tblPr>
              <w:tblBorders>
                <w:top w:val="none" w:color="000000" w:sz="4"/>
                <w:left w:val="none" w:color="000000" w:sz="4"/>
                <w:bottom w:val="none" w:color="000000" w:sz="4"/>
                <w:right w:val="none" w:color="000000" w:sz="4"/>
                <w:insideH w:val="none"/>
                <w:insideV w:val="none"/>
              </w:tblBorders>
            </w:tblPr>
            <w:tblGrid>
              <w:gridCol w:w="202"/>
              <w:gridCol w:w="357"/>
              <w:gridCol w:w="490"/>
              <w:gridCol w:w="1493"/>
            </w:tblGrid>
            <w:tr>
              <w:tc>
                <w:tcPr>
                  <w:tcW w:type="dxa" w:w="20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5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49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数量（套）</w:t>
                  </w:r>
                </w:p>
              </w:tc>
              <w:tc>
                <w:tcPr>
                  <w:tcW w:type="dxa" w:w="1493"/>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具体要求</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部门定岗定编</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部门岗位设置建议方案</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方案需科学合理，充分结合医院实际情况及</w:t>
                  </w:r>
                  <w:r>
                    <w:rPr>
                      <w:rFonts w:ascii="仿宋_GB2312" w:hAnsi="仿宋_GB2312" w:cs="仿宋_GB2312" w:eastAsia="仿宋_GB2312"/>
                      <w:sz w:val="24"/>
                    </w:rPr>
                    <w:t>“一科一策” 原则，具有较强的可操作性与前瞻性。</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部门人员编制建议方案</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编制数据需经过严谨分析与测算，符合国家相关标准及医院发展需求，体现</w:t>
                  </w:r>
                  <w:r>
                    <w:rPr>
                      <w:rFonts w:ascii="仿宋_GB2312" w:hAnsi="仿宋_GB2312" w:cs="仿宋_GB2312" w:eastAsia="仿宋_GB2312"/>
                      <w:sz w:val="24"/>
                    </w:rPr>
                    <w:t>“一科一策” 下各科室人员配置差异。</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说明书、岗位说明书</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部门职责说明书汇编</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内容完整、准确，清晰界定各部门职责范围与工作目标，融入</w:t>
                  </w:r>
                  <w:r>
                    <w:rPr>
                      <w:rFonts w:ascii="仿宋_GB2312" w:hAnsi="仿宋_GB2312" w:cs="仿宋_GB2312" w:eastAsia="仿宋_GB2312"/>
                      <w:sz w:val="24"/>
                    </w:rPr>
                    <w:t>“一科一策” 管理思路。</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部门岗位说明书汇编</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详细说明各岗位的工作内容、任职资格、工作关系等要素，突出不同科室岗位特性。</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部门职责说明书撰写培训讲义</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讲义内容应系统、易懂，便于医院人员学习与掌握职责说明书撰写方法，包含</w:t>
                  </w:r>
                  <w:r>
                    <w:rPr>
                      <w:rFonts w:ascii="仿宋_GB2312" w:hAnsi="仿宋_GB2312" w:cs="仿宋_GB2312" w:eastAsia="仿宋_GB2312"/>
                      <w:sz w:val="24"/>
                    </w:rPr>
                    <w:t>“一科一策”相关内容。</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部门职责说明书填写模板</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模板格式规范、内容全面，方便医院进行职责说明书填写工作，预留</w:t>
                  </w:r>
                  <w:r>
                    <w:rPr>
                      <w:rFonts w:ascii="仿宋_GB2312" w:hAnsi="仿宋_GB2312" w:cs="仿宋_GB2312" w:eastAsia="仿宋_GB2312"/>
                      <w:sz w:val="24"/>
                    </w:rPr>
                    <w:t>“一科一策” 个性化信息填写空间。</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部门岗位价值评估培训</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培训需涵盖岗位价值评估的理论、方法与实际操作流程，结合</w:t>
                  </w:r>
                  <w:r>
                    <w:rPr>
                      <w:rFonts w:ascii="仿宋_GB2312" w:hAnsi="仿宋_GB2312" w:cs="仿宋_GB2312" w:eastAsia="仿宋_GB2312"/>
                      <w:sz w:val="24"/>
                    </w:rPr>
                    <w:t>“一科一策” 讲解评估要点。</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部门岗位价值评价工具</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工具应科学、有效，能够准确评估各岗位的价值，适配</w:t>
                  </w:r>
                  <w:r>
                    <w:rPr>
                      <w:rFonts w:ascii="仿宋_GB2312" w:hAnsi="仿宋_GB2312" w:cs="仿宋_GB2312" w:eastAsia="仿宋_GB2312"/>
                      <w:sz w:val="24"/>
                    </w:rPr>
                    <w:t>“一科一策” 下不同科室岗位评估需求。</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部门岗位系数分析及建议</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分析深入、合理，建议具有针对性与实用性，体现各科室岗位系数差异及依据。</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部门绩效体系</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部门或模块绩效字典表</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明确各绩效指标的定义、计算方法与评价标准，遵循</w:t>
                  </w:r>
                  <w:r>
                    <w:rPr>
                      <w:rFonts w:ascii="仿宋_GB2312" w:hAnsi="仿宋_GB2312" w:cs="仿宋_GB2312" w:eastAsia="仿宋_GB2312"/>
                      <w:sz w:val="24"/>
                    </w:rPr>
                    <w:t>“一科一策” 设定差异化指标。</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部门绩效核算与考核方案</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方案需符合医院实际，具有良好的激励效果与可执行性，基于</w:t>
                  </w:r>
                  <w:r>
                    <w:rPr>
                      <w:rFonts w:ascii="仿宋_GB2312" w:hAnsi="仿宋_GB2312" w:cs="仿宋_GB2312" w:eastAsia="仿宋_GB2312"/>
                      <w:sz w:val="24"/>
                    </w:rPr>
                    <w:t xml:space="preserve">“一科一策” 构建科室专属绩效核算体系。  </w:t>
                  </w:r>
                </w:p>
              </w:tc>
            </w:tr>
            <w:tr>
              <w:tc>
                <w:tcPr>
                  <w:tcW w:type="dxa" w:w="20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绩效考核落地辅导跟踪</w:t>
                  </w:r>
                </w:p>
              </w:tc>
              <w:tc>
                <w:tcPr>
                  <w:tcW w:type="dxa" w:w="149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提供持续的辅导与跟踪服务，确保绩效考核方案有效落地实施，协助科室落实</w:t>
                  </w:r>
                  <w:r>
                    <w:rPr>
                      <w:rFonts w:ascii="仿宋_GB2312" w:hAnsi="仿宋_GB2312" w:cs="仿宋_GB2312" w:eastAsia="仿宋_GB2312"/>
                      <w:sz w:val="24"/>
                    </w:rPr>
                    <w:t>“一科一策”方案。</w:t>
                  </w:r>
                </w:p>
              </w:tc>
            </w:tr>
            <w:tr>
              <w:tc>
                <w:tcPr>
                  <w:tcW w:type="dxa" w:w="20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7"/>
                  <w:vMerge/>
                  <w:tcBorders>
                    <w:top w:val="single" w:color="000000" w:sz="4"/>
                    <w:left w:val="single" w:color="000000" w:sz="4"/>
                    <w:bottom w:val="single" w:color="000000" w:sz="4"/>
                    <w:right w:val="single" w:color="000000" w:sz="4"/>
                  </w:tcBorders>
                </w:tcPr>
                <w:p/>
              </w:tc>
              <w:tc>
                <w:tcPr>
                  <w:tcW w:type="dxa" w:w="49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部门绩效考核培训</w:t>
                  </w:r>
                </w:p>
              </w:tc>
              <w:tc>
                <w:tcPr>
                  <w:tcW w:type="dxa" w:w="1493"/>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培训内容应包括绩效考核的流程、方法、结果应用等方面，重点讲解</w:t>
                  </w:r>
                  <w:r>
                    <w:rPr>
                      <w:rFonts w:ascii="仿宋_GB2312" w:hAnsi="仿宋_GB2312" w:cs="仿宋_GB2312" w:eastAsia="仿宋_GB2312"/>
                      <w:sz w:val="24"/>
                    </w:rPr>
                    <w:t>“一科一策”绩效方案实施要点。</w:t>
                  </w:r>
                </w:p>
              </w:tc>
            </w:tr>
          </w:tbl>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绩效管理咨询服务技术参数</w:t>
            </w:r>
          </w:p>
          <w:p>
            <w:pPr>
              <w:pStyle w:val="null3"/>
              <w:ind w:firstLine="562"/>
              <w:jc w:val="left"/>
            </w:pPr>
            <w:r>
              <w:rPr>
                <w:rFonts w:ascii="仿宋_GB2312" w:hAnsi="仿宋_GB2312" w:cs="仿宋_GB2312" w:eastAsia="仿宋_GB2312"/>
                <w:sz w:val="28"/>
                <w:b/>
              </w:rPr>
              <w:t>2.1 建设原则</w:t>
            </w:r>
          </w:p>
          <w:p>
            <w:pPr>
              <w:pStyle w:val="null3"/>
              <w:ind w:firstLine="560"/>
              <w:jc w:val="left"/>
            </w:pPr>
            <w:r>
              <w:rPr>
                <w:rFonts w:ascii="仿宋_GB2312" w:hAnsi="仿宋_GB2312" w:cs="仿宋_GB2312" w:eastAsia="仿宋_GB2312"/>
                <w:sz w:val="28"/>
              </w:rPr>
              <w:t>2.1.1 政策规范性原则：所制定的绩效方案必须严格满足国家卫健委的 “九不准” 要求，完全符合医保支付政策要求，确保方案合法合规，“一科一策” 方案不得违背相关政策。</w:t>
            </w:r>
          </w:p>
          <w:p>
            <w:pPr>
              <w:pStyle w:val="null3"/>
              <w:ind w:firstLine="560"/>
              <w:jc w:val="left"/>
            </w:pPr>
            <w:r>
              <w:rPr>
                <w:rFonts w:ascii="仿宋_GB2312" w:hAnsi="仿宋_GB2312" w:cs="仿宋_GB2312" w:eastAsia="仿宋_GB2312"/>
                <w:sz w:val="28"/>
              </w:rPr>
              <w:t>2.1.2 技术方法本地化原则：投标方应将国际先进的职能人员绩效管理方法结合</w:t>
            </w:r>
            <w:r>
              <w:rPr>
                <w:rFonts w:ascii="仿宋_GB2312" w:hAnsi="仿宋_GB2312" w:cs="仿宋_GB2312" w:eastAsia="仿宋_GB2312"/>
                <w:sz w:val="28"/>
              </w:rPr>
              <w:t>采购单位</w:t>
            </w:r>
            <w:r>
              <w:rPr>
                <w:rFonts w:ascii="仿宋_GB2312" w:hAnsi="仿宋_GB2312" w:cs="仿宋_GB2312" w:eastAsia="仿宋_GB2312"/>
                <w:sz w:val="28"/>
              </w:rPr>
              <w:t>实际情况进行本地化研究，使绩效管理体系适配医院发展阶段，为医院未来发展构建坚实的基础绩效管理架构，在此过程中深度融合</w:t>
            </w:r>
            <w:r>
              <w:rPr>
                <w:rFonts w:ascii="仿宋_GB2312" w:hAnsi="仿宋_GB2312" w:cs="仿宋_GB2312" w:eastAsia="仿宋_GB2312"/>
                <w:sz w:val="28"/>
              </w:rPr>
              <w:t>“一科一策” 理念。</w:t>
            </w:r>
          </w:p>
          <w:p>
            <w:pPr>
              <w:pStyle w:val="null3"/>
              <w:ind w:firstLine="560"/>
              <w:jc w:val="left"/>
            </w:pPr>
            <w:r>
              <w:rPr>
                <w:rFonts w:ascii="仿宋_GB2312" w:hAnsi="仿宋_GB2312" w:cs="仿宋_GB2312" w:eastAsia="仿宋_GB2312"/>
                <w:sz w:val="28"/>
              </w:rPr>
              <w:t>2.1.3 安全性原则：中标方需采取切实有效的措施，确保医院数据的保密性、安全性和完整性，涉及内部敏感数据时严格遵循安全性原则，保障 “一科一策” 方案数据安全。</w:t>
            </w:r>
          </w:p>
          <w:p>
            <w:pPr>
              <w:pStyle w:val="null3"/>
              <w:ind w:firstLine="562"/>
              <w:jc w:val="left"/>
            </w:pPr>
            <w:r>
              <w:rPr>
                <w:rFonts w:ascii="仿宋_GB2312" w:hAnsi="仿宋_GB2312" w:cs="仿宋_GB2312" w:eastAsia="仿宋_GB2312"/>
                <w:sz w:val="28"/>
                <w:b/>
              </w:rPr>
              <w:t>2.2 医院咨询服务具体技术要求</w:t>
            </w:r>
          </w:p>
          <w:p>
            <w:pPr>
              <w:pStyle w:val="null3"/>
              <w:ind w:firstLine="562"/>
              <w:jc w:val="left"/>
            </w:pPr>
            <w:r>
              <w:rPr>
                <w:rFonts w:ascii="仿宋_GB2312" w:hAnsi="仿宋_GB2312" w:cs="仿宋_GB2312" w:eastAsia="仿宋_GB2312"/>
                <w:sz w:val="28"/>
                <w:b/>
              </w:rPr>
              <w:t>2.2.1 整体要求</w:t>
            </w:r>
          </w:p>
          <w:p>
            <w:pPr>
              <w:pStyle w:val="null3"/>
              <w:ind w:firstLine="560"/>
              <w:jc w:val="left"/>
            </w:pPr>
            <w:r>
              <w:rPr>
                <w:rFonts w:ascii="仿宋_GB2312" w:hAnsi="仿宋_GB2312" w:cs="仿宋_GB2312" w:eastAsia="仿宋_GB2312"/>
                <w:sz w:val="28"/>
              </w:rPr>
              <w:t>投标方需充分理解医疗行业特点，深入研究国家、地方相关管理要求，紧密结合</w:t>
            </w:r>
            <w:r>
              <w:rPr>
                <w:rFonts w:ascii="仿宋_GB2312" w:hAnsi="仿宋_GB2312" w:cs="仿宋_GB2312" w:eastAsia="仿宋_GB2312"/>
                <w:sz w:val="28"/>
              </w:rPr>
              <w:t>采购单位</w:t>
            </w:r>
            <w:r>
              <w:rPr>
                <w:rFonts w:ascii="仿宋_GB2312" w:hAnsi="仿宋_GB2312" w:cs="仿宋_GB2312" w:eastAsia="仿宋_GB2312"/>
                <w:sz w:val="28"/>
              </w:rPr>
              <w:t>现有运行管理现状，基于</w:t>
            </w:r>
            <w:r>
              <w:rPr>
                <w:rFonts w:ascii="仿宋_GB2312" w:hAnsi="仿宋_GB2312" w:cs="仿宋_GB2312" w:eastAsia="仿宋_GB2312"/>
                <w:sz w:val="28"/>
              </w:rPr>
              <w:t>“一科一策” 制定科学合理的人员配置规划管理方案。投标时必须提供有公开招标成功案例支撑的基础方案，在项目实施阶段提供详细的分类细化方案，切实满足院方需求，有效解决医院现存问题。建立以组织为基础、以医院战略目标为导向的基于岗位管理的绩效管理体系，统筹考量项目各个模块之间的关联，制定明确的项目推进计划与阶段目标产出，确保 “一科一策” 方案贯穿项目全程。</w:t>
            </w:r>
          </w:p>
          <w:p>
            <w:pPr>
              <w:pStyle w:val="null3"/>
              <w:ind w:firstLine="562"/>
              <w:jc w:val="left"/>
            </w:pPr>
            <w:r>
              <w:rPr>
                <w:rFonts w:ascii="仿宋_GB2312" w:hAnsi="仿宋_GB2312" w:cs="仿宋_GB2312" w:eastAsia="仿宋_GB2312"/>
                <w:sz w:val="28"/>
                <w:b/>
              </w:rPr>
              <w:t>2.2.2 组织梳理与人力资源规划要求</w:t>
            </w:r>
          </w:p>
          <w:p>
            <w:pPr>
              <w:pStyle w:val="null3"/>
              <w:ind w:firstLine="560"/>
              <w:jc w:val="left"/>
            </w:pPr>
            <w:r>
              <w:rPr>
                <w:rFonts w:ascii="仿宋_GB2312" w:hAnsi="仿宋_GB2312" w:cs="仿宋_GB2312" w:eastAsia="仿宋_GB2312"/>
                <w:sz w:val="28"/>
              </w:rPr>
              <w:t>- 组织梳理：运用科学合理的分析工具与方法，全面开展部门职能梳理、部门职责说明书撰写、岗位梳理、岗位分析、岗位设计和岗位说明书撰写等工作。明确各部门与岗位定位，清晰描述边界，提供合理的分析建议与部门、岗位</w:t>
            </w:r>
            <w:r>
              <w:rPr>
                <w:rFonts w:ascii="仿宋_GB2312" w:hAnsi="仿宋_GB2312" w:cs="仿宋_GB2312" w:eastAsia="仿宋_GB2312"/>
                <w:sz w:val="28"/>
              </w:rPr>
              <w:t>的说明书</w:t>
            </w:r>
            <w:r>
              <w:rPr>
                <w:rFonts w:ascii="仿宋_GB2312" w:hAnsi="仿宋_GB2312" w:cs="仿宋_GB2312" w:eastAsia="仿宋_GB2312"/>
                <w:sz w:val="28"/>
              </w:rPr>
              <w:t>，准确确定岗位基本信息、职责、权限、任职资格等要素信息，优化医院人力资源配置，在此过程中挖掘各科室特性，为</w:t>
            </w:r>
            <w:r>
              <w:rPr>
                <w:rFonts w:ascii="仿宋_GB2312" w:hAnsi="仿宋_GB2312" w:cs="仿宋_GB2312" w:eastAsia="仿宋_GB2312"/>
                <w:sz w:val="28"/>
              </w:rPr>
              <w:t>“一科一策”提供依据。</w:t>
            </w:r>
          </w:p>
          <w:p>
            <w:pPr>
              <w:pStyle w:val="null3"/>
              <w:ind w:firstLine="560"/>
              <w:jc w:val="left"/>
            </w:pPr>
            <w:r>
              <w:rPr>
                <w:rFonts w:ascii="仿宋_GB2312" w:hAnsi="仿宋_GB2312" w:cs="仿宋_GB2312" w:eastAsia="仿宋_GB2312"/>
                <w:sz w:val="28"/>
              </w:rPr>
              <w:t>- 部门人力资源规划：基于医院现有的人力资源分布、业务运转情况，结合国家政策要求与行业大数据，运用工作分析、工作负荷计算、人效分析等多种科学合理的分析方法，基于 “一科一策”提供精准的医院各部门编制配置方案。</w:t>
            </w:r>
          </w:p>
          <w:p>
            <w:pPr>
              <w:pStyle w:val="null3"/>
              <w:ind w:firstLine="562"/>
              <w:jc w:val="left"/>
            </w:pPr>
            <w:r>
              <w:rPr>
                <w:rFonts w:ascii="仿宋_GB2312" w:hAnsi="仿宋_GB2312" w:cs="仿宋_GB2312" w:eastAsia="仿宋_GB2312"/>
                <w:sz w:val="28"/>
                <w:b/>
              </w:rPr>
              <w:t>2.2.3 部门绩效分配设计要求</w:t>
            </w:r>
          </w:p>
          <w:p>
            <w:pPr>
              <w:pStyle w:val="null3"/>
              <w:ind w:firstLine="560"/>
              <w:jc w:val="left"/>
            </w:pPr>
            <w:r>
              <w:rPr>
                <w:rFonts w:ascii="仿宋_GB2312" w:hAnsi="仿宋_GB2312" w:cs="仿宋_GB2312" w:eastAsia="仿宋_GB2312"/>
                <w:sz w:val="28"/>
              </w:rPr>
              <w:t>结合前期部门及岗位梳理成果，建立</w:t>
            </w:r>
            <w:r>
              <w:rPr>
                <w:rFonts w:ascii="仿宋_GB2312" w:hAnsi="仿宋_GB2312" w:cs="仿宋_GB2312" w:eastAsia="仿宋_GB2312"/>
                <w:sz w:val="28"/>
              </w:rPr>
              <w:t>“院 - 科 - 医师组三级” 分配体系，基于 “一科一策” 制定个性化绩效分配方案。采用国际通用的价值评估方法</w:t>
            </w:r>
            <w:r>
              <w:rPr>
                <w:rFonts w:ascii="仿宋_GB2312" w:hAnsi="仿宋_GB2312" w:cs="仿宋_GB2312" w:eastAsia="仿宋_GB2312"/>
                <w:sz w:val="28"/>
              </w:rPr>
              <w:t>，基于医院确定的部门及岗位职责，对部门及岗位的相对价值和相对贡献进行客观评估，根据各科室业务特点、工作难度、风险程度等差异，合理选择价值评估的主体与因素，并科学赋值，参考行业相应职能的评价结果大数据，确定各部门的相对价值排序，形成各部门绩效系数，制定公平合理的绩效分配方案，充分体现部门之间的差异。</w:t>
            </w:r>
          </w:p>
          <w:p>
            <w:pPr>
              <w:pStyle w:val="null3"/>
              <w:ind w:firstLine="562"/>
              <w:jc w:val="left"/>
            </w:pPr>
            <w:r>
              <w:rPr>
                <w:rFonts w:ascii="仿宋_GB2312" w:hAnsi="仿宋_GB2312" w:cs="仿宋_GB2312" w:eastAsia="仿宋_GB2312"/>
                <w:sz w:val="28"/>
                <w:b/>
              </w:rPr>
              <w:t>2.2.4 部门管理考核方案设计要求</w:t>
            </w:r>
          </w:p>
          <w:p>
            <w:pPr>
              <w:pStyle w:val="null3"/>
              <w:ind w:firstLine="560"/>
              <w:jc w:val="left"/>
            </w:pPr>
            <w:r>
              <w:rPr>
                <w:rFonts w:ascii="仿宋_GB2312" w:hAnsi="仿宋_GB2312" w:cs="仿宋_GB2312" w:eastAsia="仿宋_GB2312"/>
                <w:sz w:val="28"/>
              </w:rPr>
              <w:t>通过深入调研分析，帮助医院建立契合自身特点的绩效考核管理体系，优化绩效管理流程。建立以医院战略目标为导向的科学规范的绩效考核管理体系，结合满意度评价、关键业绩指标、与部门相关的国考指标等关键要素，基于</w:t>
            </w:r>
            <w:r>
              <w:rPr>
                <w:rFonts w:ascii="仿宋_GB2312" w:hAnsi="仿宋_GB2312" w:cs="仿宋_GB2312" w:eastAsia="仿宋_GB2312"/>
                <w:sz w:val="28"/>
              </w:rPr>
              <w:t>“一科一策” 构建完善的核算单元考核指标体系，实现绩效考核闭环管理，确保医院战略有效承接及落地。</w:t>
            </w:r>
          </w:p>
          <w:p>
            <w:pPr>
              <w:pStyle w:val="null3"/>
              <w:ind w:firstLine="562"/>
              <w:jc w:val="left"/>
            </w:pPr>
            <w:r>
              <w:rPr>
                <w:rFonts w:ascii="仿宋_GB2312" w:hAnsi="仿宋_GB2312" w:cs="仿宋_GB2312" w:eastAsia="仿宋_GB2312"/>
                <w:sz w:val="28"/>
                <w:b/>
              </w:rPr>
              <w:t>2.3 项目实施技术要求</w:t>
            </w:r>
          </w:p>
          <w:p>
            <w:pPr>
              <w:pStyle w:val="null3"/>
              <w:ind w:firstLine="562"/>
              <w:jc w:val="left"/>
            </w:pPr>
            <w:r>
              <w:rPr>
                <w:rFonts w:ascii="仿宋_GB2312" w:hAnsi="仿宋_GB2312" w:cs="仿宋_GB2312" w:eastAsia="仿宋_GB2312"/>
                <w:sz w:val="28"/>
                <w:b/>
              </w:rPr>
              <w:t>2.3.1 项目阶段划分</w:t>
            </w:r>
          </w:p>
          <w:p>
            <w:pPr>
              <w:pStyle w:val="null3"/>
              <w:ind w:firstLine="560"/>
              <w:jc w:val="left"/>
            </w:pPr>
            <w:r>
              <w:rPr>
                <w:rFonts w:ascii="仿宋_GB2312" w:hAnsi="仿宋_GB2312" w:cs="仿宋_GB2312" w:eastAsia="仿宋_GB2312"/>
                <w:sz w:val="28"/>
              </w:rPr>
              <w:t>- 内部管理诊断及体系设计阶段：全面收集</w:t>
            </w:r>
            <w:r>
              <w:rPr>
                <w:rFonts w:ascii="仿宋_GB2312" w:hAnsi="仿宋_GB2312" w:cs="仿宋_GB2312" w:eastAsia="仿宋_GB2312"/>
                <w:sz w:val="28"/>
              </w:rPr>
              <w:t>采购单位</w:t>
            </w:r>
            <w:r>
              <w:rPr>
                <w:rFonts w:ascii="仿宋_GB2312" w:hAnsi="仿宋_GB2312" w:cs="仿宋_GB2312" w:eastAsia="仿宋_GB2312"/>
                <w:sz w:val="28"/>
              </w:rPr>
              <w:t>各部门信息，深入分析医院现有发展目标、内部发展历史、现行管理模式、财务状况、人力资源状况等方面，揭示医院现有经营管理中存在的问题及根源，了解和梳理医院现阶段的资源和能力状况，为医院管理提升提供坚实依据，同时识别各科室管理痛点，为</w:t>
            </w:r>
            <w:r>
              <w:rPr>
                <w:rFonts w:ascii="仿宋_GB2312" w:hAnsi="仿宋_GB2312" w:cs="仿宋_GB2312" w:eastAsia="仿宋_GB2312"/>
                <w:sz w:val="28"/>
              </w:rPr>
              <w:t>“一科一策”方案设计奠定基础。</w:t>
            </w:r>
          </w:p>
          <w:p>
            <w:pPr>
              <w:pStyle w:val="null3"/>
              <w:ind w:firstLine="560"/>
              <w:jc w:val="left"/>
            </w:pPr>
            <w:r>
              <w:rPr>
                <w:rFonts w:ascii="仿宋_GB2312" w:hAnsi="仿宋_GB2312" w:cs="仿宋_GB2312" w:eastAsia="仿宋_GB2312"/>
                <w:sz w:val="28"/>
              </w:rPr>
              <w:t>- 设计整体方案框架阶段：梳理汇总当前各部门、岗位职责、岗位设置数量等信息；运用科学方法测定各部门人员数量建议值，对岗位职责进行合并整合，编纂部门说明书、岗位说明书；设置定量及定性的考核指标库；设计整体绩效分配框架，包括绩效总额的控制方式及激励策略，将 “一科一策” 理念融入方案框架设计。</w:t>
            </w:r>
          </w:p>
          <w:p>
            <w:pPr>
              <w:pStyle w:val="null3"/>
              <w:ind w:firstLine="560"/>
              <w:jc w:val="left"/>
            </w:pPr>
            <w:r>
              <w:rPr>
                <w:rFonts w:ascii="仿宋_GB2312" w:hAnsi="仿宋_GB2312" w:cs="仿宋_GB2312" w:eastAsia="仿宋_GB2312"/>
                <w:sz w:val="28"/>
              </w:rPr>
              <w:t>- 建立管理体系并配套系统运行阶段：在岗位说明书的基础上开展岗位评价，明确不同岗位的价值贡献；结合医院战略与各部门、岗位特点，基于 “一科一策” 设计科学合理的绩效考评体系，建立职责动态管理体系框架，保障医院发展战略和阶段性目标顺利实现。</w:t>
            </w:r>
          </w:p>
          <w:p>
            <w:pPr>
              <w:pStyle w:val="null3"/>
              <w:ind w:firstLine="562"/>
              <w:jc w:val="left"/>
            </w:pPr>
            <w:r>
              <w:rPr>
                <w:rFonts w:ascii="仿宋_GB2312" w:hAnsi="仿宋_GB2312" w:cs="仿宋_GB2312" w:eastAsia="仿宋_GB2312"/>
                <w:sz w:val="28"/>
                <w:b/>
              </w:rPr>
              <w:t>2.3.2 系统基础数据维护</w:t>
            </w:r>
          </w:p>
          <w:p>
            <w:pPr>
              <w:pStyle w:val="null3"/>
              <w:ind w:firstLine="560"/>
              <w:jc w:val="left"/>
            </w:pPr>
            <w:r>
              <w:rPr>
                <w:rFonts w:ascii="仿宋_GB2312" w:hAnsi="仿宋_GB2312" w:cs="仿宋_GB2312" w:eastAsia="仿宋_GB2312"/>
                <w:sz w:val="28"/>
              </w:rPr>
              <w:t>建立绩效单元配置表，明确各绩效单元的设置与参数，支持</w:t>
            </w:r>
            <w:r>
              <w:rPr>
                <w:rFonts w:ascii="仿宋_GB2312" w:hAnsi="仿宋_GB2312" w:cs="仿宋_GB2312" w:eastAsia="仿宋_GB2312"/>
                <w:sz w:val="28"/>
              </w:rPr>
              <w:t>“一科一策”下不同科室绩效单元差异化配置。建立科室映射表，清晰呈现科室之间的关联关系。建立成本费用分类表，规范成本费用的分类与核算，便于“一科一策”下各科室成本效益分析。配置平台科室定额时长，合理确定平台科室工作时间标准。配置绩效单元运营面积及床位数，为绩效核算提供准确数据基础。</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绩效管理系统技术要求</w:t>
            </w:r>
          </w:p>
          <w:p>
            <w:pPr>
              <w:pStyle w:val="null3"/>
              <w:ind w:firstLine="560"/>
              <w:jc w:val="left"/>
            </w:pPr>
            <w:r>
              <w:rPr>
                <w:rFonts w:ascii="仿宋_GB2312" w:hAnsi="仿宋_GB2312" w:cs="仿宋_GB2312" w:eastAsia="仿宋_GB2312"/>
                <w:sz w:val="28"/>
              </w:rPr>
              <w:t>3.1 绩效管理咨询服务内容包含完善的绩效管理方案、科学的绩效核算办法以及适配的绩效管理软件系统，系统需具备 “一科一策” 方案定制与管理功能。</w:t>
            </w:r>
          </w:p>
          <w:p>
            <w:pPr>
              <w:pStyle w:val="null3"/>
              <w:ind w:firstLine="560"/>
              <w:jc w:val="left"/>
            </w:pPr>
            <w:r>
              <w:rPr>
                <w:rFonts w:ascii="仿宋_GB2312" w:hAnsi="仿宋_GB2312" w:cs="仿宋_GB2312" w:eastAsia="仿宋_GB2312"/>
                <w:sz w:val="28"/>
              </w:rPr>
              <w:t>3.2 将</w:t>
            </w:r>
            <w:r>
              <w:rPr>
                <w:rFonts w:ascii="仿宋_GB2312" w:hAnsi="仿宋_GB2312" w:cs="仿宋_GB2312" w:eastAsia="仿宋_GB2312"/>
                <w:sz w:val="28"/>
              </w:rPr>
              <w:t>采购单位</w:t>
            </w:r>
            <w:r>
              <w:rPr>
                <w:rFonts w:ascii="仿宋_GB2312" w:hAnsi="仿宋_GB2312" w:cs="仿宋_GB2312" w:eastAsia="仿宋_GB2312"/>
                <w:sz w:val="28"/>
              </w:rPr>
              <w:t>人员划分为</w:t>
            </w:r>
            <w:r>
              <w:rPr>
                <w:rFonts w:ascii="仿宋_GB2312" w:hAnsi="仿宋_GB2312" w:cs="仿宋_GB2312" w:eastAsia="仿宋_GB2312"/>
                <w:sz w:val="28"/>
              </w:rPr>
              <w:t xml:space="preserve">“医、护、技、药、管” 五个模块，每个模块均涵盖岗位价值和岗位成果绩效（工作量绩效），支持各模块内不同科室 “一科一策” 绩效方案设置。  </w:t>
            </w:r>
          </w:p>
          <w:p>
            <w:pPr>
              <w:pStyle w:val="null3"/>
              <w:ind w:firstLine="560"/>
              <w:jc w:val="left"/>
            </w:pPr>
            <w:r>
              <w:rPr>
                <w:rFonts w:ascii="仿宋_GB2312" w:hAnsi="仿宋_GB2312" w:cs="仿宋_GB2312" w:eastAsia="仿宋_GB2312"/>
                <w:sz w:val="28"/>
              </w:rPr>
              <w:t>3.3 绩效管理软件系统应具备强大的功能，能够全面、准确地体现岗位绩效和岗位成果绩效，为医院绩效管理提供高效、便捷的信息化支持，实现 “一科一策” 绩效方案的数据化、动态化管理。</w:t>
            </w:r>
          </w:p>
          <w:p>
            <w:pPr>
              <w:pStyle w:val="null3"/>
              <w:ind w:firstLine="560"/>
              <w:jc w:val="left"/>
            </w:pPr>
            <w:r>
              <w:rPr>
                <w:rFonts w:ascii="仿宋_GB2312" w:hAnsi="仿宋_GB2312" w:cs="仿宋_GB2312" w:eastAsia="仿宋_GB2312"/>
                <w:sz w:val="28"/>
              </w:rPr>
              <w:t>3.4 软件功能需求。</w:t>
            </w:r>
          </w:p>
          <w:tbl>
            <w:tblPr>
              <w:tblBorders>
                <w:top w:val="none" w:color="000000" w:sz="4"/>
                <w:left w:val="none" w:color="000000" w:sz="4"/>
                <w:bottom w:val="none" w:color="000000" w:sz="4"/>
                <w:right w:val="none" w:color="000000" w:sz="4"/>
                <w:insideH w:val="none"/>
                <w:insideV w:val="none"/>
              </w:tblBorders>
            </w:tblPr>
            <w:tblGrid>
              <w:gridCol w:w="211"/>
              <w:gridCol w:w="496"/>
              <w:gridCol w:w="1209"/>
              <w:gridCol w:w="622"/>
            </w:tblGrid>
            <w:tr>
              <w:tc>
                <w:tcPr>
                  <w:tcW w:type="dxa" w:w="21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9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需求</w:t>
                  </w:r>
                </w:p>
              </w:tc>
              <w:tc>
                <w:tcPr>
                  <w:tcW w:type="dxa" w:w="120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需求描述</w:t>
                  </w:r>
                </w:p>
              </w:tc>
              <w:tc>
                <w:tcPr>
                  <w:tcW w:type="dxa" w:w="62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538"/>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A.医疗板块</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构建临床医生岗位</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根据医院实际情况将临床医生个人绩效考核项目按工作业绩划分为门诊工作岗和住院工作岗，按各岗位工作业绩进行数据分析。</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院科</w:t>
                  </w:r>
                  <w:r>
                    <w:rPr>
                      <w:rFonts w:ascii="仿宋_GB2312" w:hAnsi="仿宋_GB2312" w:cs="仿宋_GB2312" w:eastAsia="仿宋_GB2312"/>
                      <w:sz w:val="24"/>
                    </w:rPr>
                    <w:t>DRG分组情况分析</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对各科室病案进行</w:t>
                  </w:r>
                  <w:r>
                    <w:rPr>
                      <w:rFonts w:ascii="仿宋_GB2312" w:hAnsi="仿宋_GB2312" w:cs="仿宋_GB2312" w:eastAsia="仿宋_GB2312"/>
                      <w:sz w:val="24"/>
                    </w:rPr>
                    <w:t>DRGs分组，</w:t>
                  </w:r>
                  <w:r>
                    <w:rPr>
                      <w:rFonts w:ascii="仿宋_GB2312" w:hAnsi="仿宋_GB2312" w:cs="仿宋_GB2312" w:eastAsia="仿宋_GB2312"/>
                      <w:sz w:val="24"/>
                      <w:b/>
                    </w:rPr>
                    <w:t>根据</w:t>
                  </w:r>
                  <w:r>
                    <w:rPr>
                      <w:rFonts w:ascii="仿宋_GB2312" w:hAnsi="仿宋_GB2312" w:cs="仿宋_GB2312" w:eastAsia="仿宋_GB2312"/>
                      <w:sz w:val="24"/>
                      <w:b/>
                    </w:rPr>
                    <w:t>DIP分值</w:t>
                  </w:r>
                  <w:r>
                    <w:rPr>
                      <w:rFonts w:ascii="仿宋_GB2312" w:hAnsi="仿宋_GB2312" w:cs="仿宋_GB2312" w:eastAsia="仿宋_GB2312"/>
                      <w:sz w:val="24"/>
                    </w:rPr>
                    <w:t>测算出各病历的</w:t>
                  </w:r>
                  <w:r>
                    <w:rPr>
                      <w:rFonts w:ascii="仿宋_GB2312" w:hAnsi="仿宋_GB2312" w:cs="仿宋_GB2312" w:eastAsia="仿宋_GB2312"/>
                      <w:sz w:val="24"/>
                    </w:rPr>
                    <w:t>CMI值以及各科室的DRGs分组情况。</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投标文件中提供系统启动后台打印截图，病案分组结果截图，代码片段截图。</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临床医生医师组</w:t>
                  </w:r>
                  <w:r>
                    <w:rPr>
                      <w:rFonts w:ascii="仿宋_GB2312" w:hAnsi="仿宋_GB2312" w:cs="仿宋_GB2312" w:eastAsia="仿宋_GB2312"/>
                      <w:sz w:val="24"/>
                    </w:rPr>
                    <w:t>DRG分组分析</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根据科室临床医师组实际组建情况，及</w:t>
                  </w:r>
                  <w:r>
                    <w:rPr>
                      <w:rFonts w:ascii="仿宋_GB2312" w:hAnsi="仿宋_GB2312" w:cs="仿宋_GB2312" w:eastAsia="仿宋_GB2312"/>
                      <w:sz w:val="24"/>
                      <w:b/>
                    </w:rPr>
                    <w:t>DIP分值设定权重值</w:t>
                  </w:r>
                  <w:r>
                    <w:rPr>
                      <w:rFonts w:ascii="仿宋_GB2312" w:hAnsi="仿宋_GB2312" w:cs="仿宋_GB2312" w:eastAsia="仿宋_GB2312"/>
                      <w:sz w:val="24"/>
                    </w:rPr>
                    <w:t>，并对各医师组的</w:t>
                  </w:r>
                  <w:r>
                    <w:rPr>
                      <w:rFonts w:ascii="仿宋_GB2312" w:hAnsi="仿宋_GB2312" w:cs="仿宋_GB2312" w:eastAsia="仿宋_GB2312"/>
                      <w:sz w:val="24"/>
                    </w:rPr>
                    <w:t>weight值产出及CMI值进行分析。</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分析门诊医生门诊挂号、收费数据</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根据医院</w:t>
                  </w:r>
                  <w:r>
                    <w:rPr>
                      <w:rFonts w:ascii="仿宋_GB2312" w:hAnsi="仿宋_GB2312" w:cs="仿宋_GB2312" w:eastAsia="仿宋_GB2312"/>
                      <w:sz w:val="24"/>
                    </w:rPr>
                    <w:t>HIS所提供的实际数据评测门诊医生所下医嘱行为赋值和医疗行为赋值，测评各科室各号类医疗行为赋值的修正系数，并统计门诊医生的医疗行为赋值得分。</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医生医嘱价值评价系统（</w:t>
                  </w:r>
                  <w:r>
                    <w:rPr>
                      <w:rFonts w:ascii="仿宋_GB2312" w:hAnsi="仿宋_GB2312" w:cs="仿宋_GB2312" w:eastAsia="仿宋_GB2312"/>
                      <w:sz w:val="24"/>
                    </w:rPr>
                    <w:t>OPS）</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即医疗行为赋值，通过</w:t>
                  </w:r>
                  <w:r>
                    <w:rPr>
                      <w:rFonts w:ascii="仿宋_GB2312" w:hAnsi="仿宋_GB2312" w:cs="仿宋_GB2312" w:eastAsia="仿宋_GB2312"/>
                      <w:sz w:val="24"/>
                    </w:rPr>
                    <w:t>OPS评价系统对所有门诊医生所下医嘱进行赋值评价，一般分为：简单治疗、一般治疗、复杂治疗、简单检查、一般检查、复杂检查等，并打出相应的分数。</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投标文件中提供系统启动后台打印截图，护理价值量评测结果截图，代码片段截图。</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医生操作价值评价系统（</w:t>
                  </w:r>
                  <w:r>
                    <w:rPr>
                      <w:rFonts w:ascii="仿宋_GB2312" w:hAnsi="仿宋_GB2312" w:cs="仿宋_GB2312" w:eastAsia="仿宋_GB2312"/>
                      <w:sz w:val="24"/>
                    </w:rPr>
                    <w:t>FPV）</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通过以资源为基础的相对价值比率（</w:t>
                  </w:r>
                  <w:r>
                    <w:rPr>
                      <w:rFonts w:ascii="仿宋_GB2312" w:hAnsi="仿宋_GB2312" w:cs="仿宋_GB2312" w:eastAsia="仿宋_GB2312"/>
                      <w:sz w:val="24"/>
                    </w:rPr>
                    <w:t>RBRVS），从体力消耗、技术难度、工作时长、脑力付出、精神压力、医疗风险、身体危害等维度对医生的操作进行价值评测，测算出医生每项操作的价值系数。</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核心学科发展</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通过绩效核算指标，对医院新学科发展给予支持。</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538"/>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B.护理板块</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构建护理工作岗位</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梳理和确认护理岗位：按</w:t>
                  </w:r>
                  <w:r>
                    <w:rPr>
                      <w:rFonts w:ascii="仿宋_GB2312" w:hAnsi="仿宋_GB2312" w:cs="仿宋_GB2312" w:eastAsia="仿宋_GB2312"/>
                      <w:sz w:val="24"/>
                      <w:b/>
                    </w:rPr>
                    <w:t>病区护理工作内容划分护士工作岗位，</w:t>
                  </w:r>
                  <w:r>
                    <w:rPr>
                      <w:rFonts w:ascii="仿宋_GB2312" w:hAnsi="仿宋_GB2312" w:cs="仿宋_GB2312" w:eastAsia="仿宋_GB2312"/>
                      <w:sz w:val="24"/>
                    </w:rPr>
                    <w:t>根据具体护理岗位评价出各岗位的岗位系数及人员配备。</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根据医院</w:t>
                  </w:r>
                  <w:r>
                    <w:rPr>
                      <w:rFonts w:ascii="仿宋_GB2312" w:hAnsi="仿宋_GB2312" w:cs="仿宋_GB2312" w:eastAsia="仿宋_GB2312"/>
                      <w:sz w:val="24"/>
                    </w:rPr>
                    <w:t>his实际数据统计护理单元的实际产出和价值量</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依据医院</w:t>
                  </w:r>
                  <w:r>
                    <w:rPr>
                      <w:rFonts w:ascii="仿宋_GB2312" w:hAnsi="仿宋_GB2312" w:cs="仿宋_GB2312" w:eastAsia="仿宋_GB2312"/>
                      <w:sz w:val="24"/>
                    </w:rPr>
                    <w:t>HIS系统数据获取护士操作工作量，并对各操作项目进行价值量赋值。测算各护理单元工作量绩效。</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投标文件中提供系统启动后台打印截图，护理价值量评测结果截图，代码片段截图。</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按护理工作内容区分护理单元类型</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根据护理工作内容，将护理绩效单元分为</w:t>
                  </w:r>
                  <w:r>
                    <w:rPr>
                      <w:rFonts w:ascii="仿宋_GB2312" w:hAnsi="仿宋_GB2312" w:cs="仿宋_GB2312" w:eastAsia="仿宋_GB2312"/>
                      <w:sz w:val="24"/>
                    </w:rPr>
                    <w:t>5类：临床病房类、临床门诊类、平台支持类、医技护理类、护理管理类。</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结合实际情况再次对护理绩效单元各类别进行合理调节</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统计护理一次分配的数值，评测各护理类别的调节系数。</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护理单元绩效测算</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根据护理绩效方案测算出各类护理单元护士的绩效分值进行绩效分配。</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护理管理绩效奖励</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建立护士、护士长工作满意度评价体系。提取护理管理系统中信息：护士的排班，护士个人信息（职称、能级等），不良事件例数，质控组质控结果，考核达标情况。</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538"/>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C.药学板块</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构建药学岗位</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根据工作内容与工作性质，结合医院的具体情况，构建合理的绩效岗位，评测各岗位的岗位价值系数。</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统计药学工作量核算绩效奖励</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根据工作时长、难易程度、劳动强度、医疗风险等得出药事部分各科工作价值系数（主要包括西药、中成药、草药等），计算出各岗位的服务产出值。</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538"/>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D.医技板块</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梳理医技科室具体工作内容，实现医技科室绩效分配原则</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根据医技科室实际情况梳理个医技科室操作项目，测评各科室医技项目的价值系数、价值量，统计各科室医技价值总量。</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投标文件中提供系统启动后台打印截图，科室价值量核算结果截图，代码片段截图。</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医技临床化激励</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通过辅助临床操作给予医技技术激励。</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538"/>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E.医院行政管理板块</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构建行政后勤岗位划分行政后勤工作内容</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根据岗位管理将行政后勤划分为目标中心、任务中心、效率中心。</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实现目标中心绩效分配</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构建职能处室目标中心岗位，协助编制岗位说明书，测算岗位价值量，进行岗位绩效分配。</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投标文件中提供系统启动后台打印截图，职能科室岗位系数评测结果截图，代码片段截图。</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实现任务中心绩效分配</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梳理任务中心的各项工作内容和工作量，进行价值量测评并绩效分配。</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实现效率中心绩效分配</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根据效益中心工作内容及费用结构，测算出费用结余比率，结合科室考核指标进行绩效分配。</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职能处室满意度评价</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系统实现临床、医技对职能处室工作满意度评价，院级领导对职能处室工作结果评价。</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p>
              </w:tc>
            </w:tr>
            <w:tr>
              <w:tc>
                <w:tcPr>
                  <w:tcW w:type="dxa" w:w="2538"/>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F.医院绩效指标数据分析模块</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院级绩效数据分析</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算、成本及支出分析：全年及每月预算收入增幅及实际增幅、预算人员经费及实际人员经费、预算药品收入比例及实际比例、预算材料支出及实际材料支出、预算的其他支出及实际支出等，预算结余及实际结余等。同时可同样与上月对比、及去年同期数据对比。</w:t>
                  </w:r>
                  <w:r>
                    <w:rPr>
                      <w:rFonts w:ascii="仿宋_GB2312" w:hAnsi="仿宋_GB2312" w:cs="仿宋_GB2312" w:eastAsia="仿宋_GB2312"/>
                      <w:sz w:val="24"/>
                      <w:b/>
                    </w:rPr>
                    <w:t>（医院提供预算成本、支出数据及成本核算结果）</w:t>
                  </w:r>
                </w:p>
                <w:p>
                  <w:pPr>
                    <w:pStyle w:val="null3"/>
                    <w:jc w:val="left"/>
                  </w:pPr>
                  <w:r>
                    <w:rPr>
                      <w:rFonts w:ascii="仿宋_GB2312" w:hAnsi="仿宋_GB2312" w:cs="仿宋_GB2312" w:eastAsia="仿宋_GB2312"/>
                      <w:sz w:val="24"/>
                    </w:rPr>
                    <w:t>门诊数据分析：门诊量、患者地域分析、收入结构分析；</w:t>
                  </w:r>
                </w:p>
                <w:p>
                  <w:pPr>
                    <w:pStyle w:val="null3"/>
                    <w:jc w:val="left"/>
                  </w:pPr>
                  <w:r>
                    <w:rPr>
                      <w:rFonts w:ascii="仿宋_GB2312" w:hAnsi="仿宋_GB2312" w:cs="仿宋_GB2312" w:eastAsia="仿宋_GB2312"/>
                      <w:sz w:val="24"/>
                    </w:rPr>
                    <w:t>住院数据分析：月度出院病人数、病种覆盖率、费用结构、住院患者地域分析。</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各临床科室数据分析</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科室间对比，分析内容同上。</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538"/>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G.综合绩效考核模块</w:t>
                  </w: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医疗质量与安全管理</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非预期、低风险死亡管理，无菌切口感染</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护理管理</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护理质量，护理安全。</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服务能力与水平</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日间手术，三四级手术，微创手术，平均住院日。</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改善服务</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改善服务界面，互联网医疗建设。</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资源效率</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资源效率、服务能力与水平、费用控制、耗材管理。</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费用控制</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住院次均费用，药占比，检占比，耗材占比，门诊次均费用。</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1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耗材管理</w:t>
                  </w:r>
                </w:p>
              </w:tc>
              <w:tc>
                <w:tcPr>
                  <w:tcW w:type="dxa" w:w="1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高值耗材，百元医疗服务收入耗材占比。</w:t>
                  </w:r>
                </w:p>
              </w:tc>
              <w:tc>
                <w:tcPr>
                  <w:tcW w:type="dxa" w:w="6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538"/>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H.</w:t>
                  </w:r>
                  <w:r>
                    <w:rPr>
                      <w:rFonts w:ascii="仿宋_GB2312" w:hAnsi="仿宋_GB2312" w:cs="仿宋_GB2312" w:eastAsia="仿宋_GB2312"/>
                      <w:sz w:val="24"/>
                      <w:b/>
                    </w:rPr>
                    <w:t>其它模块</w:t>
                  </w:r>
                </w:p>
              </w:tc>
            </w:tr>
            <w:tr>
              <w:tc>
                <w:tcPr>
                  <w:tcW w:type="dxa" w:w="21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岗位动态管理模块</w:t>
                  </w:r>
                </w:p>
              </w:tc>
              <w:tc>
                <w:tcPr>
                  <w:tcW w:type="dxa" w:w="120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根据业务扩展（如新增科室、开展新业务项目）及业务量变化，自动预警人力缺口的功能，为</w:t>
                  </w:r>
                  <w:r>
                    <w:rPr>
                      <w:rFonts w:ascii="仿宋_GB2312" w:hAnsi="仿宋_GB2312" w:cs="仿宋_GB2312" w:eastAsia="仿宋_GB2312"/>
                      <w:sz w:val="24"/>
                    </w:rPr>
                    <w:t>“一科一策” 方案动态调整提供数据依据。</w:t>
                  </w:r>
                </w:p>
              </w:tc>
              <w:tc>
                <w:tcPr>
                  <w:tcW w:type="dxa" w:w="62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8"/>
              </w:rPr>
              <w:t>（四）</w:t>
            </w:r>
            <w:r>
              <w:rPr>
                <w:rFonts w:ascii="仿宋_GB2312" w:hAnsi="仿宋_GB2312" w:cs="仿宋_GB2312" w:eastAsia="仿宋_GB2312"/>
                <w:sz w:val="28"/>
              </w:rPr>
              <w:t>其他要求</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软件许可：供应商提供的软件，在本院范围内，软件使用权限不受任何约束和用户数的限制。</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软件版权与归属：软件版权归供应商所有，使用权归医院所有，若供应商使用第三方软件产品，要求无版权纠纷。</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数据安全及保密协议：供应商在实施项目时，要充分考虑信息系统建设的安全性，并于采购方签订保密安全协议。配合医院开展安全等保</w:t>
            </w:r>
            <w:r>
              <w:rPr>
                <w:rFonts w:ascii="仿宋_GB2312" w:hAnsi="仿宋_GB2312" w:cs="仿宋_GB2312" w:eastAsia="仿宋_GB2312"/>
                <w:sz w:val="28"/>
              </w:rPr>
              <w:t>2.0测评。</w:t>
            </w:r>
          </w:p>
          <w:p>
            <w:pPr>
              <w:pStyle w:val="null3"/>
              <w:jc w:val="left"/>
            </w:pPr>
            <w:r>
              <w:rPr>
                <w:rFonts w:ascii="仿宋_GB2312" w:hAnsi="仿宋_GB2312" w:cs="仿宋_GB2312" w:eastAsia="仿宋_GB2312"/>
                <w:sz w:val="28"/>
              </w:rPr>
              <w:t>4、</w:t>
            </w:r>
            <w:r>
              <w:rPr>
                <w:rFonts w:ascii="仿宋_GB2312" w:hAnsi="仿宋_GB2312" w:cs="仿宋_GB2312" w:eastAsia="仿宋_GB2312"/>
                <w:sz w:val="28"/>
              </w:rPr>
              <w:t>接口要求：供应商在项目实施中，在需要与院内其他系统实现对接或数据交互时，供应商应提供相应的技术支持和数据接口，配合第三方做好技术衔接工作，供应商不得以任接口推诿并收取费用，所有涉及系统接口对接费用包含在项目总价内，由供应商负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本合同签订生效后90天内完成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陕西省森林工业职工医院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和方法:项目采用分段验收方式，系统上线使用并稳定运行，由中标人提出验收申请，采购人组织相关部门和人员进行验收。终验收完成使用并稳定运行1个月后，项目进入维保期。验收标准:(一)采购标的需满足的服务标准、效率要求1.所有系统的设计要根据业务发展需要与设备使用要求进行整体规划，统筹考虑，保证整本可用性。2.在整个实施过程中，应加大与采购人的沟通，并定期向采购人提供项目实施进展情况报告。3.验收标准:3.1需提交符合医院高质量管理导向、契合医院特点、能够充分调动员工积极性的科学合理、符合行业特点的详实的方案说明书，并通过培训向绩效薪酬体系及系统相关主体传达方案中各项指标的来源与应用方法。 3.2需提交配套信息系统的《需求说明书》、《设计说明书》、《操作手册》等项目相关资料，信息系统中的功能符合效薪酬体系及系统的需求，系统界面符合医院的整体审美:软件功能需保证数据处理准确的同时确保多任务、数据定位和数据核算、查找等功能运行正常且稳定;软件在运行过程中不出现崩溃、卡死等情况:在对软件窗口进行处理时，软件界面不会出现断纹、空间销位等不统一的情况。</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甲、乙双方签订合同后，项目团队进场完成项目调研后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提交《陕西省森林工业职工医院基于定岗定编“一科一策”个性化绩效方案》《陕西省森林工业职工医院基于“定岗定编”的绩效管理系统需求确认书》经医院审核同意</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根据《陕西省森林工业职工医院基于定岗定编“一科一策”个性化绩效方案》交付《陕西省森林工业职工医院绩效管理系统》，各系统部署、调试、培训完成，能够正常使用，且签字确认后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运行3个月后，根据服务满意度及短期成效评价情况进行终验，终验合格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项目审计完成后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免费维保期不少于3年，维保期内针对系统升级、数据迁移及故障响应（需24小时内响应）等提供及时准确的服务。免费维保到期后，采购人对项目整体进行成效评价，评价合格后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因本合同而发生的争议或纠纷，协商不成时可向甲方所在地的人民法院提起诉讼。3、中标单位未按合同要求提供采购内容或质量不能满足技术要求，采购人会同监督机构、采购代理机构有权终止合同并对供方违约行为进行追究，同时按政府采购供应商管理办法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2025年1月1日以来基本存款账户开户银行出具的资信证明（附基本存款账户信息）；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法定代表人（主要负责人）委托代理人参加投标时，应提供法定代表人（主要负责人）委托授权书及法人身份证明；法定代表人（主要负责人）亲自参加投标时，应提供法定代表人（主要负责人）身份证明书。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提供2025年任意连续3个月的社保缴纳证明（社会保障资金缴存单据或社保机构开具的社会保险参保缴费情况证明），单据或证明上应有社保机构或代收机构的公章或业务专用章。依法免缴的提供相关证明材料。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任意一个月的税收缴纳证明（纳税证明或完税证明，且证明上增值税、营业税、企业所得税至少提供一种），纳税证明或完税证明上应有代收机构或税务机关的公章或业务专用章。依法免缴的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提供在参加本次采购活动前三年内，在经营活动中没有重大违法记录声明。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标的清单-1.docx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至少应包含以下部分：（1）投标文件封面；（2）响应函；（3）中小企业声明函（4）报价表；（5）标的清单、标的清单-1；（6）供应商参加政府采购活动承诺书；（7）供应商应提交的相关资格证明材料；（8）服务内容及要求响应索引表；（9）商务要求响应表；（10）服务方案</w:t>
            </w:r>
          </w:p>
        </w:tc>
        <w:tc>
          <w:tcPr>
            <w:tcW w:type="dxa" w:w="1661"/>
          </w:tcPr>
          <w:p>
            <w:pPr>
              <w:pStyle w:val="null3"/>
            </w:pPr>
            <w:r>
              <w:rPr>
                <w:rFonts w:ascii="仿宋_GB2312" w:hAnsi="仿宋_GB2312" w:cs="仿宋_GB2312" w:eastAsia="仿宋_GB2312"/>
              </w:rPr>
              <w:t>供应商参加政府采购活动承诺书.docx 服务内容及要求响应索引表.docx 中小企业声明函 商务要求响应表.docx 报价表 响应文件封面 供应商应提交的相关资格证明材料.docx 残疾人福利性单位声明函 服务方案 标的清单 标的清单-1.docx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投标文件签字盖章均符合采购文件要求,且无遗漏。</w:t>
            </w:r>
          </w:p>
        </w:tc>
        <w:tc>
          <w:tcPr>
            <w:tcW w:type="dxa" w:w="1661"/>
          </w:tcPr>
          <w:p>
            <w:pPr>
              <w:pStyle w:val="null3"/>
            </w:pPr>
            <w:r>
              <w:rPr>
                <w:rFonts w:ascii="仿宋_GB2312" w:hAnsi="仿宋_GB2312" w:cs="仿宋_GB2312" w:eastAsia="仿宋_GB2312"/>
              </w:rPr>
              <w:t>供应商参加政府采购活动承诺书.docx 服务内容及要求响应索引表.docx 中小企业声明函 商务要求响应表.docx 业绩情况一览表.docx 报价表 响应文件封面 供应商应提交的相关资格证明材料.docx 残疾人福利性单位声明函 标的清单 标的清单-1.docx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投标报价及内容</w:t>
            </w:r>
          </w:p>
        </w:tc>
        <w:tc>
          <w:tcPr>
            <w:tcW w:type="dxa" w:w="3322"/>
          </w:tcPr>
          <w:p>
            <w:pPr>
              <w:pStyle w:val="null3"/>
            </w:pPr>
            <w:r>
              <w:rPr>
                <w:rFonts w:ascii="仿宋_GB2312" w:hAnsi="仿宋_GB2312" w:cs="仿宋_GB2312" w:eastAsia="仿宋_GB2312"/>
              </w:rPr>
              <w:t>同时满足以下条款： （1）投标报价符合唯一性要求； （2）开标一览表、标的清单、标的清单-1，填写符合要求； （3）报价货币符合采购文件要求； （4）未超出采购预算或采购文件规定的最高限价；（5）不接受0元报价与赠与行为；</w:t>
            </w:r>
          </w:p>
        </w:tc>
        <w:tc>
          <w:tcPr>
            <w:tcW w:type="dxa" w:w="1661"/>
          </w:tcPr>
          <w:p>
            <w:pPr>
              <w:pStyle w:val="null3"/>
            </w:pPr>
            <w:r>
              <w:rPr>
                <w:rFonts w:ascii="仿宋_GB2312" w:hAnsi="仿宋_GB2312" w:cs="仿宋_GB2312" w:eastAsia="仿宋_GB2312"/>
              </w:rPr>
              <w:t>响应文件封面 标的清单 报价表 标的清单-1.docx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服务条款应答</w:t>
            </w:r>
          </w:p>
        </w:tc>
        <w:tc>
          <w:tcPr>
            <w:tcW w:type="dxa" w:w="3322"/>
          </w:tcPr>
          <w:p>
            <w:pPr>
              <w:pStyle w:val="null3"/>
            </w:pPr>
            <w:r>
              <w:rPr>
                <w:rFonts w:ascii="仿宋_GB2312" w:hAnsi="仿宋_GB2312" w:cs="仿宋_GB2312" w:eastAsia="仿宋_GB2312"/>
              </w:rPr>
              <w:t>采购文件要求的各项服务要求条款逐条应答，无缺漏项。</w:t>
            </w:r>
          </w:p>
        </w:tc>
        <w:tc>
          <w:tcPr>
            <w:tcW w:type="dxa" w:w="1661"/>
          </w:tcPr>
          <w:p>
            <w:pPr>
              <w:pStyle w:val="null3"/>
            </w:pPr>
            <w:r>
              <w:rPr>
                <w:rFonts w:ascii="仿宋_GB2312" w:hAnsi="仿宋_GB2312" w:cs="仿宋_GB2312" w:eastAsia="仿宋_GB2312"/>
              </w:rPr>
              <w:t>服务内容及要求响应索引表.docx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商务条款应答</w:t>
            </w:r>
          </w:p>
        </w:tc>
        <w:tc>
          <w:tcPr>
            <w:tcW w:type="dxa" w:w="3322"/>
          </w:tcPr>
          <w:p>
            <w:pPr>
              <w:pStyle w:val="null3"/>
            </w:pPr>
            <w:r>
              <w:rPr>
                <w:rFonts w:ascii="仿宋_GB2312" w:hAnsi="仿宋_GB2312" w:cs="仿宋_GB2312" w:eastAsia="仿宋_GB2312"/>
              </w:rPr>
              <w:t>商务要求全部实质性响应，无缺项/漏项/负偏离。</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 没有出现法律法规或采购文件规定的其他无效情形。</w:t>
            </w:r>
          </w:p>
        </w:tc>
        <w:tc>
          <w:tcPr>
            <w:tcW w:type="dxa" w:w="1661"/>
          </w:tcPr>
          <w:p>
            <w:pPr>
              <w:pStyle w:val="null3"/>
            </w:pPr>
            <w:r>
              <w:rPr>
                <w:rFonts w:ascii="仿宋_GB2312" w:hAnsi="仿宋_GB2312" w:cs="仿宋_GB2312" w:eastAsia="仿宋_GB2312"/>
              </w:rPr>
              <w:t>供应商参加政府采购活动承诺书.docx 服务内容及要求响应索引表.docx 中小企业声明函 供应商认为需要提供的其他材料.docx 商务要求响应表.docx 业绩情况一览表.docx 报价表 响应文件封面 供应商应提交的相关资格证明材料.docx 残疾人福利性单位声明函 服务方案 标的清单 标的清单-1.docx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供应商响应参数完全满足或优于磋商文件要求的，得15分；▲号项参数负偏离一项扣5分；其他技术参数负偏离一项扣1分，扣完为止。 注：▲号项须提供相关证明材料，未提供或未按要求提供的，按负偏离进行评审；其他参数按照要求提供相关证明文件，未提供或未按要求提供的，按负偏离进行评审。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服务内容及要求响应索引表.docx</w:t>
            </w:r>
          </w:p>
        </w:tc>
      </w:tr>
      <w:tr>
        <w:tc>
          <w:tcPr>
            <w:tcW w:type="dxa" w:w="831"/>
            <w:vMerge/>
          </w:tcPr>
          <w:p/>
        </w:tc>
        <w:tc>
          <w:tcPr>
            <w:tcW w:type="dxa" w:w="1661"/>
          </w:tcPr>
          <w:p>
            <w:pPr>
              <w:pStyle w:val="null3"/>
            </w:pPr>
            <w:r>
              <w:rPr>
                <w:rFonts w:ascii="仿宋_GB2312" w:hAnsi="仿宋_GB2312" w:cs="仿宋_GB2312" w:eastAsia="仿宋_GB2312"/>
              </w:rPr>
              <w:t>总体技术方案</w:t>
            </w:r>
          </w:p>
        </w:tc>
        <w:tc>
          <w:tcPr>
            <w:tcW w:type="dxa" w:w="2492"/>
          </w:tcPr>
          <w:p>
            <w:pPr>
              <w:pStyle w:val="null3"/>
            </w:pPr>
            <w:r>
              <w:rPr>
                <w:rFonts w:ascii="仿宋_GB2312" w:hAnsi="仿宋_GB2312" w:cs="仿宋_GB2312" w:eastAsia="仿宋_GB2312"/>
              </w:rPr>
              <w:t>供应商对项目理解透彻，准确理解采购人需求，对项目的重点，难点把握准确，并有针对性的措施，提供总体技术方案。 方案详细全面，科学合理，可行性强，并且重点难点把握准确，并有合理的解决措施的，得10分； 方案较全面合理，可行性较强，重点难点把握较准确，处理措施较得当的，得8分； 方案一般，重点难点问题不准确，可行性较差，得4分； 未提供方案的，不得分。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服务内容及要求响应索引表.docx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项目组织实施方案</w:t>
            </w:r>
          </w:p>
        </w:tc>
        <w:tc>
          <w:tcPr>
            <w:tcW w:type="dxa" w:w="2492"/>
          </w:tcPr>
          <w:p>
            <w:pPr>
              <w:pStyle w:val="null3"/>
            </w:pPr>
            <w:r>
              <w:rPr>
                <w:rFonts w:ascii="仿宋_GB2312" w:hAnsi="仿宋_GB2312" w:cs="仿宋_GB2312" w:eastAsia="仿宋_GB2312"/>
              </w:rPr>
              <w:t>供应商提供具体的项目组织实施方案（包括但不限于质量控制目标，实施计划安排，应急保障措施，人员安排等）： 方案科学合理，可实施性强，应急保障措施完善的，得10分； 方案较合理，可实施性较强，应急保障措施较好的，得8分； 方案阐述不清，可实施性差，应急保障措施不完善，得4分； 未提供方案的，不得分。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服务内容及要求响应索引表.docx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质量进度保障</w:t>
            </w:r>
          </w:p>
        </w:tc>
        <w:tc>
          <w:tcPr>
            <w:tcW w:type="dxa" w:w="2492"/>
          </w:tcPr>
          <w:p>
            <w:pPr>
              <w:pStyle w:val="null3"/>
            </w:pPr>
            <w:r>
              <w:rPr>
                <w:rFonts w:ascii="仿宋_GB2312" w:hAnsi="仿宋_GB2312" w:cs="仿宋_GB2312" w:eastAsia="仿宋_GB2312"/>
              </w:rPr>
              <w:t>供应商根据本项目服务需求提供项目质量和进度保障，内容包含： ①明确项目质量保障方案及措施； ②项目服务进度保障及把控措施，进度计划科学合理且有进度控制计划表； 内容全部完整提供且符合采购需求的得10分，每缺少一项内容扣5分，每有一项内容有一处缺陷的扣2.5分，扣完为止，未提供不得分。 缺陷是指：缺项漏项、内容不完整、存在不适用项目实际情况的情形、凭空捏造、内容前后不一致、前后逻辑错误、涉及的规范及标准错误、地点区域错误、不符合采购需求等。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服务内容及要求响应索引表.docx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提供详细完善的售后服务方案（包含但不限于售后服务期内承诺的可行性、完整性及具体服务细则和出现问题时的处理方式） 方案详细具体，完善全面，可行性高的，得10分； 方案较全面，可行性较高的，得8分； 方案内容简单，可行性差，得4分； 未提供方案的，不得分。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服务内容及要求响应索引表.docx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针对本项目制定出培训方案，包括但不限于培训计划、培训方式、培训对象、培训内容、培训目标等： 建议合理、可行性强，承诺完善完整的，得5分，不符合以上要求，每出现一处缺陷的扣1分。未提供不得分。 缺陷是指：缺项漏项、内容不完整、存在不适用项目实际情况的情形、凭空捏造、内容前后不一致、前后逻辑错误、涉及的规范及标准错误、地点区域错误、不符合采购需求等。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服务内容及要求响应索引表.docx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业绩支撑</w:t>
            </w:r>
          </w:p>
        </w:tc>
        <w:tc>
          <w:tcPr>
            <w:tcW w:type="dxa" w:w="2492"/>
          </w:tcPr>
          <w:p>
            <w:pPr>
              <w:pStyle w:val="null3"/>
            </w:pPr>
            <w:r>
              <w:rPr>
                <w:rFonts w:ascii="仿宋_GB2312" w:hAnsi="仿宋_GB2312" w:cs="仿宋_GB2312" w:eastAsia="仿宋_GB2312"/>
              </w:rPr>
              <w:t>供应商自2022年6月1日至响应截止时间前，承接过与本项目类似业绩（需包含基于岗位的绩效管理咨询服务及绩效软件系统），每提供一项业绩得1分，满分5分。 注：提供合同（以签订时间为准）或中标（成交）通知书（以发放时间为准）扫描件加盖公章；同一业绩不重复计分。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业绩情况一览表.docx</w:t>
            </w:r>
          </w:p>
        </w:tc>
      </w:tr>
      <w:tr>
        <w:tc>
          <w:tcPr>
            <w:tcW w:type="dxa" w:w="831"/>
            <w:vMerge/>
          </w:tcPr>
          <w:p/>
        </w:tc>
        <w:tc>
          <w:tcPr>
            <w:tcW w:type="dxa" w:w="1661"/>
          </w:tcPr>
          <w:p>
            <w:pPr>
              <w:pStyle w:val="null3"/>
            </w:pPr>
            <w:r>
              <w:rPr>
                <w:rFonts w:ascii="仿宋_GB2312" w:hAnsi="仿宋_GB2312" w:cs="仿宋_GB2312" w:eastAsia="仿宋_GB2312"/>
              </w:rPr>
              <w:t>方案价值</w:t>
            </w:r>
          </w:p>
        </w:tc>
        <w:tc>
          <w:tcPr>
            <w:tcW w:type="dxa" w:w="2492"/>
          </w:tcPr>
          <w:p>
            <w:pPr>
              <w:pStyle w:val="null3"/>
            </w:pPr>
            <w:r>
              <w:rPr>
                <w:rFonts w:ascii="仿宋_GB2312" w:hAnsi="仿宋_GB2312" w:cs="仿宋_GB2312" w:eastAsia="仿宋_GB2312"/>
              </w:rPr>
              <w:t>眼科；耳鼻咽喉科；产科；妇科；妇保科；儿科；儿保科；骨科；急诊科；口腔科；外科；泌尿外科；心内科；血管外科；呼吸内科；消化内科；内分泌科；神经内科；神经外科；皮肤科；健康管理科；康复科；老年病科；疼痛科；中医科；肿瘤科；肿瘤外科；重症医学科；胃镜室；急诊科120；放射介入科；慢病管理门诊；延聘专家科室；CCU；肝胆外科；乳腺病门诊；结直肠肛门外科；感染科；新生儿科；外科ICU；营养科；妇产科。 技术方案里必须包含上述42个科室“一科一策”岗位设置方案，方案齐全且岗位设置合理，可操作性强、得15分； 每出现一处缺陷的扣1分，扣完为止；未提供不得分。 缺陷是指：缺项漏项、内容不完整、存在不适用项目实际情况的情形、凭空捏造、内容前后不一致、前后逻辑错误、涉及的规范及标准错误、地点区域错误、不符合采购需求等。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服务内容及要求响应索引表.docx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拟投入本项目人员情况</w:t>
            </w:r>
          </w:p>
        </w:tc>
        <w:tc>
          <w:tcPr>
            <w:tcW w:type="dxa" w:w="2492"/>
          </w:tcPr>
          <w:p>
            <w:pPr>
              <w:pStyle w:val="null3"/>
            </w:pPr>
            <w:r>
              <w:rPr>
                <w:rFonts w:ascii="仿宋_GB2312" w:hAnsi="仿宋_GB2312" w:cs="仿宋_GB2312" w:eastAsia="仿宋_GB2312"/>
              </w:rPr>
              <w:t>1）团队人员中项目经理需有三个同类医疗机构绩效管理服务经验（提供有效的合同复印件），得1分；不符合条件不得分。 2）团队成员具有两个同类医疗机构绩效管理和绩效工资分配的类似服务经验（提供有效的合同复印件）；得1分；不符合条件不得分。 3）团队成员不少于5人，每多一人得1分，本项最高3分；未提供团队人员的不得分。 4）项目团队成员中持有国家认可的医疗、护理、财务方面高级职称证书的人员：每提供1名符合要求的人员职称证书，得1分，满分5分。 （提供加盖公章的职称证书复印件），不提供不得分。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服务内容及要求响应索引表.docx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详见附件：标的清单-1.docx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详见附件：服务内容及要求响应索引表.docx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详见附件：业绩情况一览表.docx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详见附件：供应商认为需要提供的其他材料.docx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