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版本号：ZCBN-省本级-2025-02407.1B120250710001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总队第五支队劳务服务(二次)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ZCBN-省本级-2025-02407.1B1</w:t>
      </w:r>
      <w:r>
        <w:br/>
      </w:r>
      <w:r>
        <w:br/>
      </w:r>
      <w:r>
        <w:br/>
      </w:r>
    </w:p>
    <w:p>
      <w:pPr>
        <w:pStyle w:val="null3"/>
        <w:jc w:val="center"/>
        <w:outlineLvl w:val="2"/>
      </w:pPr>
      <w:r>
        <w:rPr>
          <w:rFonts w:ascii="仿宋_GB2312" w:hAnsi="仿宋_GB2312" w:cs="仿宋_GB2312" w:eastAsia="仿宋_GB2312"/>
          <w:sz w:val="28"/>
          <w:b/>
        </w:rPr>
        <w:t>陕西省高速公路路政执法总队</w:t>
      </w:r>
    </w:p>
    <w:p>
      <w:pPr>
        <w:pStyle w:val="null3"/>
        <w:jc w:val="center"/>
        <w:outlineLvl w:val="2"/>
      </w:pPr>
      <w:r>
        <w:rPr>
          <w:rFonts w:ascii="仿宋_GB2312" w:hAnsi="仿宋_GB2312" w:cs="仿宋_GB2312" w:eastAsia="仿宋_GB2312"/>
          <w:sz w:val="28"/>
          <w:b/>
        </w:rPr>
        <w:t>陕西和硕项目工程管理有限公司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陕西和硕项目工程管理有限公司</w:t>
      </w:r>
      <w:r>
        <w:rPr>
          <w:rFonts w:ascii="仿宋_GB2312" w:hAnsi="仿宋_GB2312" w:cs="仿宋_GB2312" w:eastAsia="仿宋_GB2312"/>
        </w:rPr>
        <w:t>（以下简称“代理机构”）受</w:t>
      </w:r>
      <w:r>
        <w:rPr>
          <w:rFonts w:ascii="仿宋_GB2312" w:hAnsi="仿宋_GB2312" w:cs="仿宋_GB2312" w:eastAsia="仿宋_GB2312"/>
        </w:rPr>
        <w:t>陕西省高速公路路政执法总队</w:t>
      </w:r>
      <w:r>
        <w:rPr>
          <w:rFonts w:ascii="仿宋_GB2312" w:hAnsi="仿宋_GB2312" w:cs="仿宋_GB2312" w:eastAsia="仿宋_GB2312"/>
        </w:rPr>
        <w:t>委托，拟对</w:t>
      </w:r>
      <w:r>
        <w:rPr>
          <w:rFonts w:ascii="仿宋_GB2312" w:hAnsi="仿宋_GB2312" w:cs="仿宋_GB2312" w:eastAsia="仿宋_GB2312"/>
        </w:rPr>
        <w:t>总队第五支队劳务服务(二次)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ZCBN-省本级-2025-02407.1B1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总队第五支队劳务服务(二次)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随着高速路政体制改革后高速路政执法业务增多，为了提高工作效率，确保驾驶员服务的专业化和规范化，决定开展驾驶员服务外包项目。目前，第五支队需要驾驶员9名驾驶员及1名炊事员。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采购包1（总队第五支队劳务服务项目）：属于专门面向中小企业采购。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1、营业执照：供应商应具有独立承担民事责任的能力且具备向采购人提供相关服务的企业法人或者自然人,企业法人应提供统一社会信用代码的营业执照；自然人提供身份证明文件；</w:t>
      </w:r>
    </w:p>
    <w:p>
      <w:pPr>
        <w:pStyle w:val="null3"/>
      </w:pPr>
      <w:r>
        <w:rPr>
          <w:rFonts w:ascii="仿宋_GB2312" w:hAnsi="仿宋_GB2312" w:cs="仿宋_GB2312" w:eastAsia="仿宋_GB2312"/>
        </w:rPr>
        <w:t>2、法人授权：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pPr>
        <w:pStyle w:val="null3"/>
      </w:pPr>
      <w:r>
        <w:rPr>
          <w:rFonts w:ascii="仿宋_GB2312" w:hAnsi="仿宋_GB2312" w:cs="仿宋_GB2312" w:eastAsia="仿宋_GB2312"/>
        </w:rPr>
        <w:t>3、税收缴纳证明和社会保障资金缴纳证明：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p>
      <w:pPr>
        <w:pStyle w:val="null3"/>
      </w:pPr>
      <w:r>
        <w:rPr>
          <w:rFonts w:ascii="仿宋_GB2312" w:hAnsi="仿宋_GB2312" w:cs="仿宋_GB2312" w:eastAsia="仿宋_GB2312"/>
        </w:rPr>
        <w:t>5、企业信誉：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pPr>
      <w:r>
        <w:rPr>
          <w:rFonts w:ascii="仿宋_GB2312" w:hAnsi="仿宋_GB2312" w:cs="仿宋_GB2312" w:eastAsia="仿宋_GB2312"/>
        </w:rPr>
        <w:t>6、提供参加本次政府采购活动前三年内在经营活动中没有重大违法记录的书面声明；：提供参加本次政府采购活动前三年内在经营活动中没有重大违法记录的书面声明；：提供参加本次政府采购活动前三年内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提供具有履行合同所必须的设备和专业技术能力的承诺书；：提供具有履行合同所必须的设备和专业技术能力的承诺书；：提供具有履行合同所必须的设备和专业技术能力的承诺书；：提供具有履行合同所必须的设备和专业技术能力的承诺书；</w:t>
      </w:r>
    </w:p>
    <w:p>
      <w:pPr>
        <w:pStyle w:val="null3"/>
      </w:pPr>
      <w:r>
        <w:rPr>
          <w:rFonts w:ascii="仿宋_GB2312" w:hAnsi="仿宋_GB2312" w:cs="仿宋_GB2312" w:eastAsia="仿宋_GB2312"/>
        </w:rPr>
        <w:t>8、供应商资质：供应商具备行业行政主管部门颁发的《人力资源服务许可证》或《劳务派遣经营许可证》</w:t>
      </w:r>
    </w:p>
    <w:p>
      <w:pPr>
        <w:pStyle w:val="null3"/>
      </w:pPr>
      <w:r>
        <w:rPr>
          <w:rFonts w:ascii="仿宋_GB2312" w:hAnsi="仿宋_GB2312" w:cs="仿宋_GB2312" w:eastAsia="仿宋_GB2312"/>
        </w:rPr>
        <w:t>9、供应商控股关系：单位负责人为同一人或者存在直接控股、管理关系的不同供应商，不得参加同一合同项下的政府采购活动；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陕西省高速公路路政执法总队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渭南市临渭区解放街道朝阳大街东段68号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陕西省高速公路路政执法总队第五支队 李宏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0913-2183743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陕西和硕项目工程管理有限公司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陕西省渭南市临渭区陕西省渭南市临渭区三贤路与东风街十字西南角人保大厦2602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王变玲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0913-2072529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本项目采购的/产品属于节能产品政府采购品目清单中应强制采购的产品范围，供应商应当提供国家确定的认证机构出具的、处于有效期之内的节能产品认证证书，否则作无效响应处理。</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开户名称：陕西和硕项目工程管理有限公司</w:t>
            </w:r>
          </w:p>
          <w:p>
            <w:pPr>
              <w:pStyle w:val="null3"/>
            </w:pPr>
            <w:r>
              <w:rPr>
                <w:rFonts w:ascii="仿宋_GB2312" w:hAnsi="仿宋_GB2312" w:cs="仿宋_GB2312" w:eastAsia="仿宋_GB2312"/>
              </w:rPr>
              <w:t>开户银行：中国农业银行股份有限公司渭南商业大厦支行</w:t>
            </w:r>
          </w:p>
          <w:p>
            <w:pPr>
              <w:pStyle w:val="null3"/>
            </w:pPr>
            <w:r>
              <w:rPr>
                <w:rFonts w:ascii="仿宋_GB2312" w:hAnsi="仿宋_GB2312" w:cs="仿宋_GB2312" w:eastAsia="仿宋_GB2312"/>
              </w:rPr>
              <w:t>银行账号：26562601040002219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关于印发《招标代理服务收费管理暂行办法》的通知（计价格〔2002〕1980号）、国家发展改革委关于降低部分建设项目收费标准规范收费行为等有关问题的通知发改价格[2011]534号文件的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陕西省高速公路路政执法总队</w:t>
      </w:r>
      <w:r>
        <w:rPr>
          <w:rFonts w:ascii="仿宋_GB2312" w:hAnsi="仿宋_GB2312" w:cs="仿宋_GB2312" w:eastAsia="仿宋_GB2312"/>
        </w:rPr>
        <w:t>和</w:t>
      </w:r>
      <w:r>
        <w:rPr>
          <w:rFonts w:ascii="仿宋_GB2312" w:hAnsi="仿宋_GB2312" w:cs="仿宋_GB2312" w:eastAsia="仿宋_GB2312"/>
        </w:rPr>
        <w:t>陕西和硕项目工程管理有限公司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陕西省高速公路路政执法总队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陕西和硕项目工程管理有限公司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陕西省高速公路路政执法总队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陕西和硕项目工程管理有限公司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（1）考评标准 考评采用百分制，其中: 90分(含)以上为优秀，支付当期合同价款； 90分以下至80分(含)为合格，支付当期合同价款； 80分以下为不合格，对乙方进行约谈，不支付当期合同价款。 （2）项目验收 对乙方员工的考评结果视为乙方服务质量的验收依据，甲方依据本项目管理要求和乙方投标文件承诺，对乙方提供的服务质量进行考核打分。考核方式为，省路政执法总队第五支队2025年政府采购实施小组进行评价打分，与乙方员工日常考评相结合，确保评价客观准确。具体打分见考评标准，总分100分，乙方得分90分(含)以上的为优秀，乙方得分在 80(含)-90(不含)分之间的，要严格服务标准，提高服务质量；乙方得分在80(不含)以下的，视为不合格，乙方考评为不合格的，甲方有权不支付乙方当期任何费用，并终止合同。同时，甲方有权要求乙方支付当期费用的5%作为违约金，违约金不足以弥补甲方损失的，乙方应当予以补足。</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陕西和硕项目工程管理有限公司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联系人：王变玲</w:t>
      </w:r>
    </w:p>
    <w:p>
      <w:pPr>
        <w:pStyle w:val="null3"/>
      </w:pPr>
      <w:r>
        <w:rPr>
          <w:rFonts w:ascii="仿宋_GB2312" w:hAnsi="仿宋_GB2312" w:cs="仿宋_GB2312" w:eastAsia="仿宋_GB2312"/>
        </w:rPr>
        <w:t>联系电话：0913-2072529</w:t>
      </w:r>
    </w:p>
    <w:p>
      <w:pPr>
        <w:pStyle w:val="null3"/>
      </w:pPr>
      <w:r>
        <w:rPr>
          <w:rFonts w:ascii="仿宋_GB2312" w:hAnsi="仿宋_GB2312" w:cs="仿宋_GB2312" w:eastAsia="仿宋_GB2312"/>
        </w:rPr>
        <w:t>地址：陕西省渭南市临渭区陕西省渭南市临渭区三贤路与东风街十字西南角人保大厦 2602</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随着高速路政体制改革后高速路政执法业务增多，为了提高工作效率，确保驾驶员服务的专业化和规范化，决定开展驾驶员服务外包项目。目前，第五支队需要驾驶员9名驾驶员及1名炊事员。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648,000.00</w:t>
      </w:r>
    </w:p>
    <w:p>
      <w:pPr>
        <w:pStyle w:val="null3"/>
      </w:pPr>
      <w:r>
        <w:rPr>
          <w:rFonts w:ascii="仿宋_GB2312" w:hAnsi="仿宋_GB2312" w:cs="仿宋_GB2312" w:eastAsia="仿宋_GB2312"/>
        </w:rPr>
        <w:t>采购包最高限价（元）: 648,000.00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总队第五支队劳务服务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标的名称：总队第五支队劳务服务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8"/>
              <w:jc w:val="both"/>
            </w:pPr>
            <w:r>
              <w:rPr>
                <w:rFonts w:ascii="仿宋_GB2312" w:hAnsi="仿宋_GB2312" w:cs="仿宋_GB2312" w:eastAsia="仿宋_GB2312"/>
                <w:sz w:val="24"/>
                <w:color w:val="000000"/>
              </w:rPr>
              <w:t>项目概况</w:t>
            </w:r>
            <w:r>
              <w:rPr>
                <w:rFonts w:ascii="仿宋_GB2312" w:hAnsi="仿宋_GB2312" w:cs="仿宋_GB2312" w:eastAsia="仿宋_GB2312"/>
                <w:sz w:val="24"/>
                <w:color w:val="000000"/>
              </w:rPr>
              <w:t>：随着高速路政体制改革后高速路政执法业务增多，为了提高工作效率，确保驾驶员服务的专业化和规范化，决定开展驾驶员服务外包项目。目前，第五支队需要驾驶员</w:t>
            </w:r>
            <w:r>
              <w:rPr>
                <w:rFonts w:ascii="仿宋_GB2312" w:hAnsi="仿宋_GB2312" w:cs="仿宋_GB2312" w:eastAsia="仿宋_GB2312"/>
                <w:sz w:val="24"/>
                <w:color w:val="000000"/>
              </w:rPr>
              <w:t>9名驾驶员</w:t>
            </w:r>
            <w:r>
              <w:rPr>
                <w:rFonts w:ascii="仿宋_GB2312" w:hAnsi="仿宋_GB2312" w:cs="仿宋_GB2312" w:eastAsia="仿宋_GB2312"/>
                <w:sz w:val="24"/>
                <w:color w:val="000000"/>
              </w:rPr>
              <w:t>及</w:t>
            </w:r>
            <w:r>
              <w:rPr>
                <w:rFonts w:ascii="仿宋_GB2312" w:hAnsi="仿宋_GB2312" w:cs="仿宋_GB2312" w:eastAsia="仿宋_GB2312"/>
                <w:sz w:val="24"/>
                <w:color w:val="000000"/>
              </w:rPr>
              <w:t>1名炊事员</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8"/>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工作区域：主要在辖区高速公路，以及因工作需求的其他区域。</w:t>
            </w:r>
          </w:p>
          <w:p>
            <w:pPr>
              <w:pStyle w:val="null3"/>
              <w:ind w:firstLine="488"/>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工作内容：</w:t>
            </w:r>
          </w:p>
          <w:p>
            <w:pPr>
              <w:pStyle w:val="null3"/>
              <w:ind w:firstLine="488"/>
              <w:jc w:val="both"/>
            </w:pPr>
            <w:r>
              <w:rPr>
                <w:rFonts w:ascii="仿宋_GB2312" w:hAnsi="仿宋_GB2312" w:cs="仿宋_GB2312" w:eastAsia="仿宋_GB2312"/>
                <w:sz w:val="24"/>
                <w:color w:val="000000"/>
              </w:rPr>
              <w:t>驾驶员：</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 车辆驾驶。严格遵守交通规则，按照规定的路线和时间安全驾驶车辆；保持良好的驾驶习惯，平稳操控车辆，确保行车安全。</w:t>
            </w:r>
          </w:p>
          <w:p>
            <w:pPr>
              <w:pStyle w:val="null3"/>
              <w:numPr>
                <w:ilvl w:val="0"/>
                <w:numId w:val="1"/>
              </w:numPr>
              <w:jc w:val="both"/>
            </w:pPr>
            <w:r>
              <w:rPr>
                <w:rFonts w:ascii="仿宋_GB2312" w:hAnsi="仿宋_GB2312" w:cs="仿宋_GB2312" w:eastAsia="仿宋_GB2312"/>
                <w:sz w:val="24"/>
                <w:color w:val="000000"/>
              </w:rPr>
              <w:t>. 车辆检查与维护。每次出车前对车辆进行全面检查，包括轮胎、制动系统、灯光、机油等。定期对车辆进行保养和维修，确保车辆处于良好的运行状态。</w:t>
            </w:r>
          </w:p>
          <w:p>
            <w:pPr>
              <w:pStyle w:val="null3"/>
              <w:numPr>
                <w:ilvl w:val="0"/>
                <w:numId w:val="1"/>
              </w:numPr>
              <w:jc w:val="both"/>
            </w:pPr>
            <w:r>
              <w:rPr>
                <w:rFonts w:ascii="仿宋_GB2312" w:hAnsi="仿宋_GB2312" w:cs="仿宋_GB2312" w:eastAsia="仿宋_GB2312"/>
                <w:sz w:val="24"/>
                <w:color w:val="000000"/>
              </w:rPr>
              <w:t>. 紧急情况处理。 遇到交通事故、车辆故障等紧急情况时，冷静应对，采取正确的措施进行处理。及时报告相关情况，并配合有关部门进行处理。</w:t>
            </w:r>
          </w:p>
          <w:p>
            <w:pPr>
              <w:pStyle w:val="null3"/>
              <w:numPr>
                <w:ilvl w:val="0"/>
                <w:numId w:val="1"/>
              </w:numPr>
              <w:jc w:val="both"/>
            </w:pPr>
            <w:r>
              <w:rPr>
                <w:rFonts w:ascii="仿宋_GB2312" w:hAnsi="仿宋_GB2312" w:cs="仿宋_GB2312" w:eastAsia="仿宋_GB2312"/>
                <w:sz w:val="24"/>
                <w:color w:val="000000"/>
              </w:rPr>
              <w:t>. 记录与报告。记录车辆的行驶里程、油耗、维修等情况；向上级报告车辆的运行状况和工作中遇到的问题。</w:t>
            </w:r>
          </w:p>
          <w:p>
            <w:pPr>
              <w:pStyle w:val="null3"/>
              <w:numPr>
                <w:ilvl w:val="0"/>
                <w:numId w:val="1"/>
              </w:numPr>
              <w:jc w:val="both"/>
            </w:pPr>
            <w:r>
              <w:rPr>
                <w:rFonts w:ascii="仿宋_GB2312" w:hAnsi="仿宋_GB2312" w:cs="仿宋_GB2312" w:eastAsia="仿宋_GB2312"/>
                <w:sz w:val="24"/>
                <w:color w:val="000000"/>
              </w:rPr>
              <w:t>. 遵守法规和单位制度。 严格遵守交通法规和运输行业的相关规定；遵守所属支队的各项规章制度和工作流程。总之，驾驶员需要具备良好的驾驶技能、责任心和应变能力，以保障行车安全和顺利完成任务。</w:t>
            </w:r>
          </w:p>
          <w:p>
            <w:pPr>
              <w:pStyle w:val="null3"/>
              <w:ind w:firstLine="488"/>
              <w:jc w:val="both"/>
            </w:pPr>
            <w:r>
              <w:rPr>
                <w:rFonts w:ascii="仿宋_GB2312" w:hAnsi="仿宋_GB2312" w:cs="仿宋_GB2312" w:eastAsia="仿宋_GB2312"/>
                <w:sz w:val="24"/>
                <w:color w:val="000000"/>
              </w:rPr>
              <w:t>炊事员：（</w:t>
            </w:r>
            <w:r>
              <w:rPr>
                <w:rFonts w:ascii="仿宋_GB2312" w:hAnsi="仿宋_GB2312" w:cs="仿宋_GB2312" w:eastAsia="仿宋_GB2312"/>
                <w:sz w:val="24"/>
                <w:color w:val="000000"/>
              </w:rPr>
              <w:t>1）</w:t>
            </w:r>
            <w:r>
              <w:rPr>
                <w:rFonts w:ascii="仿宋_GB2312" w:hAnsi="仿宋_GB2312" w:cs="仿宋_GB2312" w:eastAsia="仿宋_GB2312"/>
                <w:sz w:val="24"/>
                <w:color w:val="000000"/>
              </w:rPr>
              <w:t>. 烹饪能力</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具备扎实的烹饪技术，能独立完成大锅菜、小炒、面点等多样化餐品制作。</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擅长根据招标方需求调整菜品（如营养餐、民族餐等）。</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 食品安全与卫生</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熟悉食品储存、加工、留样等操作规范，能严格执行《餐饮服务食品安全操作规范》。</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掌握食品交叉污染预防、餐具消毒等卫生管理要求。</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 效率与成本控制</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具备合理规划备餐时间、控制食材损耗的能力，能配合招标方完成成本核算。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技术要求：</w:t>
            </w:r>
          </w:p>
          <w:p>
            <w:pPr>
              <w:pStyle w:val="null3"/>
              <w:ind w:firstLine="488"/>
              <w:jc w:val="both"/>
            </w:pPr>
            <w:r>
              <w:rPr>
                <w:rFonts w:ascii="仿宋_GB2312" w:hAnsi="仿宋_GB2312" w:cs="仿宋_GB2312" w:eastAsia="仿宋_GB2312"/>
                <w:sz w:val="24"/>
                <w:color w:val="000000"/>
              </w:rPr>
              <w:t>1、驾驶员：</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 熟练的驾驶技能。能够准确、平稳地操控车辆，包括起步、换挡、转向、制动等操作；熟悉各种路况下的驾驶技巧，如城市道路、高速公路、山区道路、恶劣天气条件等。</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 良好的空间感知能力。准确判断车辆与周围物体的距离和位置关系，避免碰撞和刮擦；能够灵活地在狭窄空间内进行车辆的停放和掉头。</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 应急处理能力。 在遇到突发状况，如刹车失灵、爆胎、车辆失控等时，能够冷静、迅速地采取正确的应急措施，保障人员和车辆的安全。</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 车辆操控技巧。 掌握车辆的各种功能和设备的使用，如灯光、雨刮器、空调等；熟悉不同类型车辆（手动挡、自动挡）的特点和操控差异。</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 交通规则和法规的精通。严格遵守各项交通规则，包括信号指示、限速规定、让行规则等；了解交通法规的变化和更新，确保驾驶行为合法合规。</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 车辆检查和维护知识。具备基本的车辆故障判断能力，能够及时发现车辆的异常情况；掌握一些简单的车辆维护和保养技巧，如更换轮胎、添加机油等。</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路线规划和导航能力。能够根据目的地和路况合理规划行驶路线；熟练使用导航设备，准确按照导航指示行驶。</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 夜间和特殊天气驾驶技能。在夜间能够正确使用灯光，适应光线变化； 在雨、雪、雾等特殊天气条件下，能够调整驾驶方式，确保安全行驶。</w:t>
            </w:r>
          </w:p>
          <w:p>
            <w:pPr>
              <w:pStyle w:val="null3"/>
              <w:ind w:firstLine="488"/>
              <w:jc w:val="both"/>
            </w:pPr>
            <w:r>
              <w:rPr>
                <w:rFonts w:ascii="仿宋_GB2312" w:hAnsi="仿宋_GB2312" w:cs="仿宋_GB2312" w:eastAsia="仿宋_GB2312"/>
                <w:sz w:val="24"/>
                <w:color w:val="000000"/>
              </w:rPr>
              <w:t>2、炊事员：具备合理规划备餐时间、控制食材损耗的能力，能配合招标方完成成本核算。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color w:val="000000"/>
              </w:rPr>
              <w:t>服务要求：</w:t>
            </w:r>
          </w:p>
          <w:p>
            <w:pPr>
              <w:pStyle w:val="null3"/>
              <w:ind w:firstLine="488"/>
              <w:jc w:val="both"/>
            </w:pPr>
            <w:r>
              <w:rPr>
                <w:rFonts w:ascii="仿宋_GB2312" w:hAnsi="仿宋_GB2312" w:cs="仿宋_GB2312" w:eastAsia="仿宋_GB2312"/>
                <w:sz w:val="24"/>
                <w:color w:val="000000"/>
              </w:rPr>
              <w:t>1、驾驶员：</w:t>
            </w:r>
          </w:p>
          <w:p>
            <w:pPr>
              <w:pStyle w:val="null3"/>
              <w:ind w:firstLine="488"/>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 资质与证件。驾驶员应持有《中华人民共和国机动车驾驶证》C1及以上准驾车型；驾驶员年龄须满18周岁，初次聘用的驾驶员年龄原则上在50周岁以下。</w:t>
            </w:r>
          </w:p>
          <w:p>
            <w:pPr>
              <w:pStyle w:val="null3"/>
              <w:jc w:val="left"/>
            </w:pPr>
            <w:r>
              <w:rPr>
                <w:rFonts w:ascii="仿宋_GB2312" w:hAnsi="仿宋_GB2312" w:cs="仿宋_GB2312" w:eastAsia="仿宋_GB2312"/>
                <w:sz w:val="19"/>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 安全驾驶。严格遵守交通法规，3年以上无重大交通</w:t>
            </w:r>
            <w:r>
              <w:rPr>
                <w:rFonts w:ascii="仿宋_GB2312" w:hAnsi="仿宋_GB2312" w:cs="仿宋_GB2312" w:eastAsia="仿宋_GB2312"/>
                <w:sz w:val="24"/>
                <w:color w:val="000000"/>
              </w:rPr>
              <w:t>违法记录；保持良好的驾驶习惯，确保行车安全，降低事故发生率。</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 车辆维护与管理。每次出车前进行车辆检查，确保车辆性能良好、整洁卫生；发现车辆故障或安全隐患及时报告并配合维修。</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 工作纪律。按时到岗，遵守工作时间安排，不迟到、早退；服从调度和工作安排，不得擅自离岗或私自调换工作任务。</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 保密义务。 对服务过程中涉及的客户信息、业务机密等严格保密。</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 应急处理能力。遇到交通事故、车辆故障等突发情况，能够冷静、妥善处理，并及时报告。</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培训与学习。 积极参加外包服务提供商组织的培训活动，提升业务水平；及时了解和掌握交通法规及行业政策的更新。</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 服务质量考核。 接受委托方定期或不定期的服务质量考核，根据考核结果进行改进。</w:t>
            </w:r>
          </w:p>
          <w:p>
            <w:pPr>
              <w:pStyle w:val="null3"/>
              <w:ind w:firstLine="488"/>
              <w:jc w:val="both"/>
            </w:pPr>
            <w:r>
              <w:rPr>
                <w:rFonts w:ascii="仿宋_GB2312" w:hAnsi="仿宋_GB2312" w:cs="仿宋_GB2312" w:eastAsia="仿宋_GB2312"/>
                <w:sz w:val="24"/>
                <w:color w:val="000000"/>
              </w:rPr>
              <w:t>2、炊事员：</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1）.具备合理规划备餐时间、控制食材损耗的能力，能配合招标方完成成本核算。</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2）.具备良好的沟通能力，能配合招标方管理人员协调工作。</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 严格遵守招标方规章制度，如考勤、着装、操作规范等。</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4）.须持有有效的《健康证》或《食品从业人员健康证明》，无传染性疾病或其他影响食品安全的健康问题。</w:t>
            </w:r>
          </w:p>
          <w:p>
            <w:pPr>
              <w:pStyle w:val="null3"/>
              <w:ind w:firstLine="488"/>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5）.年龄一般在18-55周岁（视具体工作强度调整），初中及以上学历。</w:t>
            </w:r>
          </w:p>
          <w:p>
            <w:pPr>
              <w:pStyle w:val="null3"/>
              <w:ind w:firstLine="488"/>
              <w:jc w:val="both"/>
            </w:pPr>
            <w:r>
              <w:rPr>
                <w:rFonts w:ascii="仿宋_GB2312" w:hAnsi="仿宋_GB2312" w:cs="仿宋_GB2312" w:eastAsia="仿宋_GB2312"/>
              </w:rPr>
              <w:t>3、服务人员食宿由成交供应商提供。</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商务要求：</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服务期限是</w:t>
            </w:r>
            <w:r>
              <w:rPr>
                <w:rFonts w:ascii="仿宋_GB2312" w:hAnsi="仿宋_GB2312" w:cs="仿宋_GB2312" w:eastAsia="仿宋_GB2312"/>
                <w:sz w:val="24"/>
                <w:color w:val="000000"/>
              </w:rPr>
              <w:t>12个月；</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w:t>
            </w:r>
            <w:r>
              <w:rPr>
                <w:rFonts w:ascii="仿宋_GB2312" w:hAnsi="仿宋_GB2312" w:cs="仿宋_GB2312" w:eastAsia="仿宋_GB2312"/>
                <w:sz w:val="24"/>
                <w:color w:val="000000"/>
              </w:rPr>
              <w:t>款项结算：按月结算。</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主要在辖区高速公路，以及因工作需求的其他区域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乙方员工的考评结果视为乙方服务质量的验收依据，甲方依据本项目管理要求和乙方投标文件承诺，对乙方提供的服务质量进行考核打分。考核方式为，省路政执法总队第五支队2025年政府采购实施小组进行评价打分，与乙方员工日常考评相结合，确保评价客观准确。具体打分见考评标准，总分100分，乙方得分90分(含)以上的为优秀，乙方得分在 80(含)-90(不含)分之间的，要严格服务标准，提高服务质量；乙方得分在80(不含)以下的，视为不合格，乙方考评为不合格的，甲方有权不支付乙方当期任何费用，并终止合同。同时，甲方有权要求乙方支付当期费用的5%作为违约金，违约金不足以弥补甲方损失的，乙方应当予以补足。</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外包费用双方每月按照甲、乙双方认可的方式结算；费用确认无误后，乙方提供符合甲方费用核算要求的有效费用发票（工资部分增值税普通发票，管理费增值税专用发票），甲方在收到发票后5个工作日内完对乙方的付款义务，乙方在工资到账三个工作日内按照甲方指定账户为员工发放工资。 外包服务费用收取标准： 元/月。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（1）任何一方违反或擅自变更本合同的约定，应当承担由此给对方造成的经济损失和相关责任。 第十五条 因甲方原因不能按合同规定的时间及时支付外包费，甲方每日应按0.1%的比例向乙方支付拖欠部分的违约金。甲方连续拖欠款项达三个月以上，致使合同无法履行，乙方有权解除合同，并依法追回欠款和违约金。 （2）乙方违约责任： 1）、乙方无正当理由，未按时支付派出甲方外包服务人员的工资发放，或未及时处理员工纠纷、承担用人责任、或其他违约行为，每日按照外包费的0.1%支付违约金，逾期10日以上的，甲方可终止本合同的履行，由此造成的损失和一切法律责任，由乙方自行承担。 2）、乙方未按要求提供劳务服务或提供服务质量不达标，未在甲方要求期限内整改或整改后仍不合格的，甲方有权解除合同，并要求乙方承担本合同总金额20%的违约金，甲方因此产生损失的乙方应承担赔偿责任。 3）、乙方应当独立承担用工责任，处理劳务纠纷。如因乙方与员工劳务纠纷造成甲方损失或致使甲方承担任何责任的，乙方应当赔偿甲方因此产生的一切损失。 第十七条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 第十八条 因执行本合同发生的一切争议，双方应首先友好协商解决。经协商不能解决，可向甲方所在地人民法院提起诉讼。在诉讼期间，除必须在诉讼过程中进行解决的问题外，合同其余部分应继续履行。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款项结算：按月结算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资格证明文件.docx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响应函 资格证明文件.docx 陕西省政府采购供应商拒绝政府采购领域商业贿赂承诺书.docx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资格证明文件.docx 陕西省政府采购供应商拒绝政府采购领域商业贿赂承诺书.docx 磋商服务方案.docx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供应商应具有独立承担民事责任的能力且具备向采购人提供相关服务的企业法人或者自然人,企业法人应提供统一社会信用代码的营业执照；自然人提供身份证明文件；</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w:t>
            </w:r>
          </w:p>
        </w:tc>
        <w:tc>
          <w:tcPr>
            <w:tcW w:type="dxa" w:w="3322"/>
          </w:tcPr>
          <w:p>
            <w:pPr>
              <w:pStyle w:val="null3"/>
            </w:pPr>
            <w:r>
              <w:rPr>
                <w:rFonts w:ascii="仿宋_GB2312" w:hAnsi="仿宋_GB2312" w:cs="仿宋_GB2312" w:eastAsia="仿宋_GB2312"/>
              </w:rPr>
              <w:t>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2023或2024年度财务审计报告（成立时间至提交响应文件截止时间不足一年的可提供成立后任意时段的资产负债表）或其基本存款账户开户银行出具的开标前六个月内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提供参加本次政府采购活动前三年内在经营活动中没有重大违法记录的书面声明；：提供参加本次政府采购活动前三年内在经营活动中没有重大违法记录的书面声明；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提供具有履行合同所必须的设备和专业技术能力的承诺书；：提供具有履行合同所必须的设备和专业技术能力的承诺书；</w:t>
            </w:r>
          </w:p>
        </w:tc>
        <w:tc>
          <w:tcPr>
            <w:tcW w:type="dxa" w:w="3322"/>
          </w:tcPr>
          <w:p>
            <w:pPr>
              <w:pStyle w:val="null3"/>
            </w:pPr>
            <w:r>
              <w:rPr>
                <w:rFonts w:ascii="仿宋_GB2312" w:hAnsi="仿宋_GB2312" w:cs="仿宋_GB2312" w:eastAsia="仿宋_GB2312"/>
              </w:rPr>
              <w:t>提供具有履行合同所必须的设备和专业技术能力的承诺书；：提供具有履行合同所必须的设备和专业技术能力的承诺书；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供应商具备行业行政主管部门颁发的《人力资源服务许可证》或《劳务派遣经营许可证》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根据投标人对项目的总体定位、服务内容理解是否精准和整体方案分析是否深入、全面完整、合理，服务理念符合磋商文件要求，根据计划的合理性和可行性计(0-10分)。 (1)总体方案合理、有针对性、完善得（7-10]分； (2)总体方案较合理、针对性一般、基本完善(4-7]分 (3)总体方案不太合理、内容不完善得(0-4]分。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工作计划</w:t>
            </w:r>
          </w:p>
        </w:tc>
        <w:tc>
          <w:tcPr>
            <w:tcW w:type="dxa" w:w="2492"/>
          </w:tcPr>
          <w:p>
            <w:pPr>
              <w:pStyle w:val="null3"/>
            </w:pPr>
            <w:r>
              <w:rPr>
                <w:rFonts w:ascii="仿宋_GB2312" w:hAnsi="仿宋_GB2312" w:cs="仿宋_GB2312" w:eastAsia="仿宋_GB2312"/>
              </w:rPr>
              <w:t>根据项目具体情况，制定工作方案，切实可行的工作组织管理及实施计划要求详细、合理、全面，按其响应程度计0-10分； (1)方案措施合理、完善、可行，得（7-10]分； (2)方案措施较合理、完善、可行，得(4-7]分 ； (3)方案措施有欠缺，得(0-4]分。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服务难点</w:t>
            </w:r>
          </w:p>
        </w:tc>
        <w:tc>
          <w:tcPr>
            <w:tcW w:type="dxa" w:w="2492"/>
          </w:tcPr>
          <w:p>
            <w:pPr>
              <w:pStyle w:val="null3"/>
            </w:pPr>
            <w:r>
              <w:rPr>
                <w:rFonts w:ascii="仿宋_GB2312" w:hAnsi="仿宋_GB2312" w:cs="仿宋_GB2312" w:eastAsia="仿宋_GB2312"/>
              </w:rPr>
              <w:t>针对本次项目服务中的重点、难点分析按其解决计划可行性程度计0-10分； 重点、难点分析清晰合理，重点把控准确，难点解决思路明确，解决计划可行性强得（7-10]分； 重点、难点分析清晰，重点明确，难点解决思路一般，解决计划有可行性得(4-7]分； 重点、难点分析模糊，重点把控一般，难点解决思路模糊，解决计划可行性一般得(0-4]分。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人员管理</w:t>
            </w:r>
          </w:p>
        </w:tc>
        <w:tc>
          <w:tcPr>
            <w:tcW w:type="dxa" w:w="2492"/>
          </w:tcPr>
          <w:p>
            <w:pPr>
              <w:pStyle w:val="null3"/>
            </w:pPr>
            <w:r>
              <w:rPr>
                <w:rFonts w:ascii="仿宋_GB2312" w:hAnsi="仿宋_GB2312" w:cs="仿宋_GB2312" w:eastAsia="仿宋_GB2312"/>
              </w:rPr>
              <w:t>应商针对不同的岗位配备相应的人员，能够按照服务内容及要求持岗上证，各岗位人员从业经验丰富。 1.供应商针对不同的岗位配备相应的人员，人员持证上岗，从业经验丰富，提供详细具体的方案及证明材料。得（7-10]分； 2.供应商所配人员满足要求，人员持证上岗，具备从业经验，提供具体的方案及证明材料。得(4-7]分； 3.供应商所配人员基本满足要求，人员持证上岗，提供具体的方案及证明材料。得(0-4]分； 4.供应商提供的服务人员配备方案不合理或未提供得0分。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考核制度</w:t>
            </w:r>
          </w:p>
        </w:tc>
        <w:tc>
          <w:tcPr>
            <w:tcW w:type="dxa" w:w="2492"/>
          </w:tcPr>
          <w:p>
            <w:pPr>
              <w:pStyle w:val="null3"/>
            </w:pPr>
            <w:r>
              <w:rPr>
                <w:rFonts w:ascii="仿宋_GB2312" w:hAnsi="仿宋_GB2312" w:cs="仿宋_GB2312" w:eastAsia="仿宋_GB2312"/>
              </w:rPr>
              <w:t>针对本项目制定详细、可行的业务考核制度，根据相应情况，按其响应程度计0-10分。 (1)方案详细、可行、针对性强，得（7-10]分； (2)方案基本合理、针对性一般，得(4-7]分； (3)方案宽泛、针对性差，得(0-4]分。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应急措施方案</w:t>
            </w:r>
          </w:p>
        </w:tc>
        <w:tc>
          <w:tcPr>
            <w:tcW w:type="dxa" w:w="2492"/>
          </w:tcPr>
          <w:p>
            <w:pPr>
              <w:pStyle w:val="null3"/>
            </w:pPr>
            <w:r>
              <w:rPr>
                <w:rFonts w:ascii="仿宋_GB2312" w:hAnsi="仿宋_GB2312" w:cs="仿宋_GB2312" w:eastAsia="仿宋_GB2312"/>
              </w:rPr>
              <w:t>具有可行完善的突发事件处理预案措施(包括但不限于对劳资纠纷的处理方案等)及针对本项目服务的质量保证措施。按其响应程度计0-10分。 措施完善具有可行性、合理、针对性强，得（7-10]分； (2)措施基本完善、合理可行、针对性一般，得(4-7]分； (3)措施考虑不全面，不利于项目实施的(0-4]分。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服务质量保障措施，包含岗位职责是否明确，服务规范要求是否完善，监督制度是否完善，薪资待遇制度是否健全。 (1)方案措施合理、完善、可行，每项得(4-7]分； (2)方案措施较合理、完善、可行，得(2-4]分 ； (3)方案措施有欠缺，得(0-2]分。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能针对本项目工作提出合理化建议。 (1)建议明确，针对性、可行性强，得(3-5]分； (2)建议可行性一般，针对性一般，得(0-3]分。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针对本项目制订符合实际情况服务承诺，按其承诺的合理程度赋分。 服务承诺清晰明确、具有针对性：(4-8]分； 服务承诺较清晰明确、针对性一般：(2-4]分； 服务承诺内容不清晰、针对性较差：(0-2]分；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投标人提供近2022年1月至今类似项目业绩，每项业绩得2分，最高得10分。 注：业绩须提供合同复印件或成交/中标通知书(加盖投标人公章)。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2、满足招标文件实质性要求且最终报价最低的投标人的价格为投标基准价，其价格分为满分10分。 3、投标报价得分=(投标基准价/最终投标报价)×10。 4、投标报价不完整的，不进入投标基准价的计算，本项得0分。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