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64E50">
      <w:pPr>
        <w:spacing w:before="114" w:line="228" w:lineRule="auto"/>
        <w:jc w:val="center"/>
        <w:outlineLvl w:val="0"/>
        <w:rPr>
          <w:rFonts w:hint="eastAsia" w:ascii="仿宋" w:hAnsi="仿宋" w:eastAsia="仿宋" w:cs="仿宋"/>
          <w:sz w:val="35"/>
          <w:szCs w:val="35"/>
          <w:highlight w:val="none"/>
        </w:rPr>
      </w:pPr>
      <w:r>
        <w:rPr>
          <w:rFonts w:hint="eastAsia" w:ascii="仿宋" w:hAnsi="仿宋" w:eastAsia="仿宋" w:cs="仿宋"/>
          <w:b/>
          <w:bCs/>
          <w:sz w:val="35"/>
          <w:szCs w:val="35"/>
          <w:highlight w:val="none"/>
        </w:rPr>
        <w:t>合同条款及格式</w:t>
      </w:r>
    </w:p>
    <w:p w14:paraId="22F1F7AC">
      <w:pPr>
        <w:bidi w:val="0"/>
        <w:jc w:val="center"/>
        <w:rPr>
          <w:rFonts w:hint="eastAsia" w:ascii="仿宋" w:hAnsi="仿宋" w:eastAsia="仿宋" w:cs="仿宋"/>
          <w:highlight w:val="none"/>
        </w:rPr>
      </w:pPr>
      <w:r>
        <w:rPr>
          <w:rFonts w:hint="eastAsia" w:ascii="仿宋" w:hAnsi="仿宋" w:eastAsia="仿宋" w:cs="仿宋"/>
          <w:highlight w:val="none"/>
        </w:rPr>
        <w:t>(本合同为样稿，具体内容可根据</w:t>
      </w:r>
      <w:r>
        <w:rPr>
          <w:rFonts w:hint="eastAsia" w:ascii="仿宋" w:hAnsi="仿宋" w:eastAsia="仿宋" w:cs="仿宋"/>
          <w:highlight w:val="none"/>
          <w:lang w:val="en-US" w:eastAsia="zh-CN"/>
        </w:rPr>
        <w:t>供应商响应</w:t>
      </w:r>
      <w:r>
        <w:rPr>
          <w:rFonts w:hint="eastAsia" w:ascii="仿宋" w:hAnsi="仿宋" w:eastAsia="仿宋" w:cs="仿宋"/>
          <w:highlight w:val="none"/>
        </w:rPr>
        <w:t>文件</w:t>
      </w:r>
      <w:r>
        <w:rPr>
          <w:rFonts w:hint="eastAsia" w:ascii="仿宋" w:hAnsi="仿宋" w:eastAsia="仿宋" w:cs="仿宋"/>
          <w:highlight w:val="none"/>
          <w:lang w:val="en-US" w:eastAsia="zh-CN"/>
        </w:rPr>
        <w:t>由</w:t>
      </w:r>
      <w:r>
        <w:rPr>
          <w:rFonts w:hint="eastAsia" w:ascii="仿宋" w:hAnsi="仿宋" w:eastAsia="仿宋" w:cs="仿宋"/>
          <w:highlight w:val="none"/>
        </w:rPr>
        <w:t>双方协商后确定)</w:t>
      </w:r>
    </w:p>
    <w:p w14:paraId="757B7B37">
      <w:pPr>
        <w:pStyle w:val="3"/>
        <w:spacing w:line="262" w:lineRule="auto"/>
        <w:rPr>
          <w:rFonts w:hint="eastAsia" w:ascii="仿宋" w:hAnsi="仿宋" w:eastAsia="仿宋" w:cs="仿宋"/>
          <w:highlight w:val="none"/>
        </w:rPr>
      </w:pPr>
    </w:p>
    <w:p w14:paraId="2F72460F">
      <w:pPr>
        <w:pStyle w:val="3"/>
        <w:spacing w:line="263" w:lineRule="auto"/>
        <w:rPr>
          <w:rFonts w:hint="eastAsia" w:ascii="仿宋" w:hAnsi="仿宋" w:eastAsia="仿宋" w:cs="仿宋"/>
          <w:highlight w:val="none"/>
        </w:rPr>
      </w:pPr>
    </w:p>
    <w:p w14:paraId="373D0052">
      <w:pPr>
        <w:pStyle w:val="3"/>
        <w:suppressLineNumbers/>
        <w:adjustRightInd/>
        <w:snapToGrid/>
        <w:spacing w:line="360" w:lineRule="auto"/>
        <w:jc w:val="center"/>
        <w:rPr>
          <w:rFonts w:hint="eastAsia" w:ascii="仿宋" w:hAnsi="仿宋" w:eastAsia="仿宋" w:cs="仿宋"/>
          <w:b/>
          <w:color w:val="auto"/>
          <w:spacing w:val="30"/>
          <w:sz w:val="56"/>
          <w:szCs w:val="56"/>
          <w:highlight w:val="none"/>
        </w:rPr>
      </w:pPr>
      <w:r>
        <w:rPr>
          <w:rFonts w:hint="eastAsia" w:ascii="仿宋" w:hAnsi="仿宋" w:eastAsia="仿宋" w:cs="仿宋"/>
          <w:b/>
          <w:color w:val="auto"/>
          <w:sz w:val="56"/>
          <w:szCs w:val="56"/>
          <w:highlight w:val="none"/>
        </w:rPr>
        <w:t>服务合同</w:t>
      </w:r>
    </w:p>
    <w:p w14:paraId="45EEF408">
      <w:pPr>
        <w:pStyle w:val="13"/>
        <w:tabs>
          <w:tab w:val="left" w:pos="0"/>
          <w:tab w:val="left" w:pos="510"/>
          <w:tab w:val="left" w:pos="567"/>
          <w:tab w:val="left" w:pos="601"/>
        </w:tabs>
        <w:jc w:val="center"/>
        <w:rPr>
          <w:rFonts w:hint="eastAsia" w:ascii="仿宋" w:hAnsi="仿宋" w:eastAsia="仿宋" w:cs="仿宋"/>
          <w:b/>
          <w:spacing w:val="20"/>
          <w:w w:val="90"/>
          <w:sz w:val="44"/>
          <w:szCs w:val="44"/>
          <w:highlight w:val="none"/>
        </w:rPr>
      </w:pPr>
    </w:p>
    <w:p w14:paraId="58473FED">
      <w:pPr>
        <w:pStyle w:val="13"/>
        <w:tabs>
          <w:tab w:val="left" w:pos="0"/>
          <w:tab w:val="left" w:pos="510"/>
          <w:tab w:val="left" w:pos="567"/>
          <w:tab w:val="left" w:pos="601"/>
        </w:tabs>
        <w:rPr>
          <w:rFonts w:hint="eastAsia" w:ascii="仿宋" w:hAnsi="仿宋" w:eastAsia="仿宋" w:cs="仿宋"/>
          <w:b/>
          <w:sz w:val="44"/>
          <w:szCs w:val="44"/>
          <w:highlight w:val="none"/>
        </w:rPr>
      </w:pPr>
    </w:p>
    <w:p w14:paraId="1B20200C">
      <w:pPr>
        <w:pStyle w:val="13"/>
        <w:tabs>
          <w:tab w:val="left" w:pos="0"/>
          <w:tab w:val="left" w:pos="510"/>
          <w:tab w:val="left" w:pos="567"/>
          <w:tab w:val="left" w:pos="601"/>
        </w:tabs>
        <w:jc w:val="center"/>
        <w:rPr>
          <w:rFonts w:hint="eastAsia" w:ascii="仿宋" w:hAnsi="仿宋" w:eastAsia="仿宋" w:cs="仿宋"/>
          <w:b/>
          <w:sz w:val="44"/>
          <w:szCs w:val="44"/>
          <w:highlight w:val="none"/>
        </w:rPr>
      </w:pPr>
    </w:p>
    <w:p w14:paraId="4F782FF8">
      <w:pPr>
        <w:pStyle w:val="13"/>
        <w:tabs>
          <w:tab w:val="left" w:pos="0"/>
          <w:tab w:val="left" w:pos="510"/>
          <w:tab w:val="left" w:pos="567"/>
          <w:tab w:val="left" w:pos="601"/>
        </w:tabs>
        <w:rPr>
          <w:rFonts w:hint="eastAsia" w:ascii="仿宋" w:hAnsi="仿宋" w:eastAsia="仿宋" w:cs="仿宋"/>
          <w:b/>
          <w:sz w:val="44"/>
          <w:szCs w:val="44"/>
          <w:highlight w:val="none"/>
        </w:rPr>
      </w:pPr>
    </w:p>
    <w:p w14:paraId="293F8982">
      <w:pPr>
        <w:pStyle w:val="13"/>
        <w:tabs>
          <w:tab w:val="left" w:pos="0"/>
          <w:tab w:val="left" w:pos="510"/>
          <w:tab w:val="left" w:pos="567"/>
          <w:tab w:val="left" w:pos="601"/>
        </w:tabs>
        <w:jc w:val="center"/>
        <w:rPr>
          <w:rFonts w:hint="eastAsia" w:ascii="仿宋" w:hAnsi="仿宋" w:eastAsia="仿宋" w:cs="仿宋"/>
          <w:b/>
          <w:sz w:val="44"/>
          <w:szCs w:val="44"/>
          <w:highlight w:val="none"/>
        </w:rPr>
      </w:pPr>
    </w:p>
    <w:p w14:paraId="7BA97C05">
      <w:pPr>
        <w:pStyle w:val="13"/>
        <w:tabs>
          <w:tab w:val="left" w:pos="0"/>
          <w:tab w:val="left" w:pos="510"/>
          <w:tab w:val="left" w:pos="567"/>
          <w:tab w:val="left" w:pos="601"/>
        </w:tabs>
        <w:jc w:val="both"/>
        <w:rPr>
          <w:rFonts w:hint="eastAsia" w:ascii="仿宋" w:hAnsi="仿宋" w:eastAsia="仿宋" w:cs="仿宋"/>
          <w:b/>
          <w:sz w:val="44"/>
          <w:szCs w:val="44"/>
          <w:highlight w:val="none"/>
        </w:rPr>
      </w:pPr>
    </w:p>
    <w:p w14:paraId="22A19F1B">
      <w:pPr>
        <w:pStyle w:val="13"/>
        <w:tabs>
          <w:tab w:val="left" w:pos="0"/>
          <w:tab w:val="left" w:pos="510"/>
          <w:tab w:val="left" w:pos="567"/>
          <w:tab w:val="left" w:pos="601"/>
        </w:tabs>
        <w:ind w:firstLine="1084" w:firstLineChars="300"/>
        <w:jc w:val="both"/>
        <w:rPr>
          <w:rFonts w:hint="eastAsia" w:ascii="仿宋" w:hAnsi="仿宋" w:eastAsia="仿宋" w:cs="仿宋"/>
          <w:b/>
          <w:sz w:val="36"/>
          <w:szCs w:val="36"/>
          <w:highlight w:val="none"/>
        </w:rPr>
      </w:pPr>
    </w:p>
    <w:p w14:paraId="1E0F7EDE">
      <w:pPr>
        <w:pStyle w:val="13"/>
        <w:tabs>
          <w:tab w:val="left" w:pos="0"/>
          <w:tab w:val="left" w:pos="510"/>
          <w:tab w:val="left" w:pos="567"/>
          <w:tab w:val="left" w:pos="601"/>
        </w:tabs>
        <w:ind w:firstLine="1084" w:firstLineChars="300"/>
        <w:jc w:val="both"/>
        <w:rPr>
          <w:rFonts w:hint="eastAsia" w:ascii="仿宋" w:hAnsi="仿宋" w:eastAsia="仿宋" w:cs="仿宋"/>
          <w:b/>
          <w:sz w:val="36"/>
          <w:szCs w:val="36"/>
          <w:highlight w:val="none"/>
        </w:rPr>
      </w:pPr>
    </w:p>
    <w:p w14:paraId="5BDB8E83">
      <w:pPr>
        <w:pStyle w:val="13"/>
        <w:tabs>
          <w:tab w:val="left" w:pos="0"/>
          <w:tab w:val="left" w:pos="510"/>
          <w:tab w:val="left" w:pos="567"/>
          <w:tab w:val="left" w:pos="601"/>
        </w:tabs>
        <w:ind w:firstLine="1084" w:firstLineChars="300"/>
        <w:jc w:val="both"/>
        <w:rPr>
          <w:rFonts w:hint="eastAsia" w:ascii="仿宋" w:hAnsi="仿宋" w:eastAsia="仿宋" w:cs="仿宋"/>
          <w:b/>
          <w:sz w:val="36"/>
          <w:szCs w:val="36"/>
          <w:highlight w:val="none"/>
        </w:rPr>
      </w:pPr>
    </w:p>
    <w:p w14:paraId="1C66D68E">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0BE19223">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4B0A375B">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166EF2AB">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7A5BC67F">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16C83A12">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5FD02E12">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30F0FB71">
      <w:pPr>
        <w:pStyle w:val="13"/>
        <w:tabs>
          <w:tab w:val="left" w:pos="0"/>
          <w:tab w:val="left" w:pos="510"/>
          <w:tab w:val="left" w:pos="567"/>
          <w:tab w:val="left" w:pos="601"/>
        </w:tabs>
        <w:ind w:firstLine="964" w:firstLineChars="400"/>
        <w:jc w:val="both"/>
        <w:rPr>
          <w:rFonts w:hint="eastAsia" w:ascii="仿宋" w:hAnsi="仿宋" w:eastAsia="仿宋" w:cs="仿宋"/>
          <w:b/>
          <w:sz w:val="24"/>
          <w:szCs w:val="24"/>
          <w:highlight w:val="none"/>
          <w:u w:val="single"/>
          <w:lang w:val="en-US" w:eastAsia="zh-CN"/>
        </w:rPr>
      </w:pPr>
      <w:r>
        <w:rPr>
          <w:rFonts w:hint="eastAsia" w:ascii="仿宋" w:hAnsi="仿宋" w:eastAsia="仿宋" w:cs="仿宋"/>
          <w:b/>
          <w:sz w:val="24"/>
          <w:szCs w:val="24"/>
          <w:highlight w:val="none"/>
        </w:rPr>
        <w:t>甲方：</w:t>
      </w:r>
      <w:r>
        <w:rPr>
          <w:rFonts w:hint="eastAsia" w:cs="仿宋"/>
          <w:b/>
          <w:sz w:val="24"/>
          <w:szCs w:val="24"/>
          <w:highlight w:val="none"/>
          <w:u w:val="single"/>
          <w:lang w:eastAsia="zh-CN"/>
        </w:rPr>
        <w:t>陕西省高速公路路政执法总队第五支队</w:t>
      </w:r>
      <w:r>
        <w:rPr>
          <w:rFonts w:hint="eastAsia" w:ascii="仿宋" w:hAnsi="仿宋" w:eastAsia="仿宋" w:cs="仿宋"/>
          <w:b/>
          <w:sz w:val="24"/>
          <w:szCs w:val="24"/>
          <w:highlight w:val="none"/>
          <w:u w:val="single"/>
          <w:lang w:val="en-US" w:eastAsia="zh-CN"/>
        </w:rPr>
        <w:t xml:space="preserve">       </w:t>
      </w:r>
    </w:p>
    <w:p w14:paraId="32EAF8A9">
      <w:pPr>
        <w:pStyle w:val="13"/>
        <w:tabs>
          <w:tab w:val="left" w:pos="0"/>
          <w:tab w:val="left" w:pos="510"/>
          <w:tab w:val="left" w:pos="567"/>
          <w:tab w:val="left" w:pos="601"/>
        </w:tabs>
        <w:ind w:firstLine="964" w:firstLineChars="400"/>
        <w:jc w:val="both"/>
        <w:rPr>
          <w:rFonts w:hint="eastAsia" w:ascii="仿宋" w:hAnsi="仿宋" w:eastAsia="仿宋" w:cs="仿宋"/>
          <w:b/>
          <w:sz w:val="24"/>
          <w:szCs w:val="24"/>
          <w:highlight w:val="none"/>
          <w:u w:val="single"/>
          <w:lang w:val="en-US" w:eastAsia="zh-CN"/>
        </w:rPr>
      </w:pPr>
    </w:p>
    <w:p w14:paraId="7D6BA6D7">
      <w:pPr>
        <w:pStyle w:val="13"/>
        <w:tabs>
          <w:tab w:val="left" w:pos="0"/>
          <w:tab w:val="left" w:pos="510"/>
          <w:tab w:val="left" w:pos="567"/>
          <w:tab w:val="left" w:pos="601"/>
        </w:tabs>
        <w:ind w:firstLine="964" w:firstLineChars="400"/>
        <w:jc w:val="both"/>
        <w:rPr>
          <w:rFonts w:hint="eastAsia" w:ascii="仿宋" w:hAnsi="仿宋" w:eastAsia="仿宋" w:cs="仿宋"/>
          <w:b/>
          <w:sz w:val="32"/>
          <w:szCs w:val="32"/>
          <w:highlight w:val="none"/>
          <w:u w:val="single"/>
          <w:lang w:val="en-US" w:eastAsia="zh-CN"/>
        </w:rPr>
      </w:pPr>
      <w:r>
        <w:rPr>
          <w:rFonts w:hint="eastAsia" w:ascii="仿宋" w:hAnsi="仿宋" w:eastAsia="仿宋" w:cs="仿宋"/>
          <w:b/>
          <w:sz w:val="24"/>
          <w:szCs w:val="24"/>
          <w:highlight w:val="none"/>
        </w:rPr>
        <w:t>乙方：</w:t>
      </w:r>
      <w:r>
        <w:rPr>
          <w:rFonts w:hint="eastAsia" w:cs="仿宋"/>
          <w:b/>
          <w:sz w:val="24"/>
          <w:szCs w:val="24"/>
          <w:highlight w:val="none"/>
          <w:u w:val="single"/>
          <w:lang w:val="en-US" w:eastAsia="zh-CN"/>
        </w:rPr>
        <w:t xml:space="preserve">                                    </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32"/>
          <w:szCs w:val="32"/>
          <w:highlight w:val="none"/>
          <w:u w:val="single"/>
          <w:lang w:val="en-US" w:eastAsia="zh-CN"/>
        </w:rPr>
        <w:t xml:space="preserve"> </w:t>
      </w:r>
    </w:p>
    <w:p w14:paraId="69191B41">
      <w:pPr>
        <w:pStyle w:val="13"/>
        <w:tabs>
          <w:tab w:val="left" w:pos="0"/>
          <w:tab w:val="left" w:pos="510"/>
          <w:tab w:val="left" w:pos="567"/>
          <w:tab w:val="left" w:pos="601"/>
        </w:tabs>
        <w:ind w:firstLine="1073" w:firstLineChars="297"/>
        <w:jc w:val="both"/>
        <w:rPr>
          <w:rFonts w:hint="eastAsia" w:ascii="仿宋" w:hAnsi="仿宋" w:eastAsia="仿宋" w:cs="仿宋"/>
          <w:b/>
          <w:sz w:val="36"/>
          <w:szCs w:val="36"/>
          <w:highlight w:val="none"/>
        </w:rPr>
      </w:pPr>
    </w:p>
    <w:p w14:paraId="3E52F721">
      <w:pPr>
        <w:pStyle w:val="13"/>
        <w:tabs>
          <w:tab w:val="left" w:pos="0"/>
          <w:tab w:val="left" w:pos="510"/>
          <w:tab w:val="left" w:pos="567"/>
          <w:tab w:val="left" w:pos="601"/>
        </w:tabs>
        <w:jc w:val="both"/>
        <w:rPr>
          <w:rFonts w:hint="eastAsia" w:ascii="仿宋" w:hAnsi="仿宋" w:eastAsia="仿宋" w:cs="仿宋"/>
          <w:b/>
          <w:sz w:val="30"/>
          <w:highlight w:val="none"/>
        </w:rPr>
      </w:pPr>
    </w:p>
    <w:p w14:paraId="4A456B24">
      <w:pPr>
        <w:pStyle w:val="13"/>
        <w:tabs>
          <w:tab w:val="left" w:pos="0"/>
          <w:tab w:val="left" w:pos="510"/>
          <w:tab w:val="left" w:pos="567"/>
          <w:tab w:val="left" w:pos="601"/>
        </w:tabs>
        <w:spacing w:line="560" w:lineRule="exact"/>
        <w:ind w:firstLine="2891" w:firstLineChars="800"/>
        <w:jc w:val="both"/>
        <w:rPr>
          <w:rFonts w:hint="eastAsia" w:ascii="仿宋" w:hAnsi="仿宋" w:eastAsia="仿宋" w:cs="仿宋"/>
          <w:b/>
          <w:sz w:val="36"/>
          <w:szCs w:val="22"/>
          <w:highlight w:val="none"/>
        </w:rPr>
      </w:pPr>
    </w:p>
    <w:p w14:paraId="5849E604">
      <w:pPr>
        <w:pStyle w:val="13"/>
        <w:tabs>
          <w:tab w:val="left" w:pos="0"/>
          <w:tab w:val="left" w:pos="510"/>
          <w:tab w:val="left" w:pos="567"/>
          <w:tab w:val="left" w:pos="601"/>
        </w:tabs>
        <w:spacing w:line="560" w:lineRule="exact"/>
        <w:ind w:firstLine="2891" w:firstLineChars="800"/>
        <w:jc w:val="both"/>
        <w:rPr>
          <w:rFonts w:hint="eastAsia" w:ascii="仿宋" w:hAnsi="仿宋" w:eastAsia="仿宋" w:cs="仿宋"/>
          <w:b/>
          <w:sz w:val="36"/>
          <w:szCs w:val="22"/>
          <w:highlight w:val="none"/>
        </w:rPr>
      </w:pPr>
    </w:p>
    <w:p w14:paraId="5FE2965D">
      <w:pPr>
        <w:pStyle w:val="13"/>
        <w:tabs>
          <w:tab w:val="left" w:pos="0"/>
          <w:tab w:val="left" w:pos="510"/>
          <w:tab w:val="left" w:pos="567"/>
          <w:tab w:val="left" w:pos="601"/>
        </w:tabs>
        <w:spacing w:line="560" w:lineRule="exact"/>
        <w:ind w:firstLine="2891" w:firstLineChars="800"/>
        <w:jc w:val="both"/>
        <w:rPr>
          <w:rFonts w:hint="eastAsia" w:ascii="仿宋" w:hAnsi="仿宋" w:eastAsia="仿宋" w:cs="仿宋"/>
          <w:b/>
          <w:sz w:val="36"/>
          <w:szCs w:val="22"/>
          <w:highlight w:val="none"/>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p>
    <w:p w14:paraId="1473F41B">
      <w:pPr>
        <w:pStyle w:val="13"/>
        <w:tabs>
          <w:tab w:val="left" w:pos="0"/>
          <w:tab w:val="left" w:pos="510"/>
          <w:tab w:val="left" w:pos="567"/>
          <w:tab w:val="left" w:pos="601"/>
        </w:tabs>
        <w:spacing w:line="560" w:lineRule="exact"/>
        <w:ind w:firstLine="3253" w:firstLineChars="900"/>
        <w:jc w:val="both"/>
        <w:rPr>
          <w:rFonts w:hint="eastAsia" w:ascii="仿宋" w:hAnsi="仿宋" w:eastAsia="仿宋" w:cs="仿宋"/>
          <w:b/>
          <w:sz w:val="36"/>
          <w:szCs w:val="22"/>
          <w:highlight w:val="none"/>
        </w:rPr>
      </w:pPr>
      <w:r>
        <w:rPr>
          <w:rFonts w:hint="eastAsia" w:ascii="仿宋" w:hAnsi="仿宋" w:eastAsia="仿宋" w:cs="仿宋"/>
          <w:b/>
          <w:sz w:val="36"/>
          <w:szCs w:val="22"/>
          <w:highlight w:val="none"/>
        </w:rPr>
        <w:t>第一章  总 则</w:t>
      </w:r>
    </w:p>
    <w:p w14:paraId="7E423E40">
      <w:pPr>
        <w:tabs>
          <w:tab w:val="left" w:pos="0"/>
          <w:tab w:val="left" w:pos="405"/>
          <w:tab w:val="left" w:pos="567"/>
          <w:tab w:val="left" w:pos="601"/>
          <w:tab w:val="left" w:pos="1980"/>
        </w:tabs>
        <w:spacing w:line="560" w:lineRule="exact"/>
        <w:jc w:val="left"/>
        <w:rPr>
          <w:rFonts w:hint="eastAsia" w:ascii="仿宋" w:hAnsi="仿宋" w:eastAsia="仿宋" w:cs="仿宋"/>
          <w:b/>
          <w:sz w:val="28"/>
          <w:szCs w:val="28"/>
          <w:highlight w:val="none"/>
        </w:rPr>
      </w:pPr>
    </w:p>
    <w:p w14:paraId="73ADAA02">
      <w:pPr>
        <w:tabs>
          <w:tab w:val="left" w:pos="0"/>
          <w:tab w:val="left" w:pos="405"/>
          <w:tab w:val="left" w:pos="567"/>
          <w:tab w:val="left" w:pos="601"/>
          <w:tab w:val="left" w:pos="1980"/>
        </w:tabs>
        <w:spacing w:line="560" w:lineRule="exact"/>
        <w:ind w:firstLine="502" w:firstLineChars="200"/>
        <w:jc w:val="left"/>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第一条 </w:t>
      </w:r>
      <w:r>
        <w:rPr>
          <w:rFonts w:hint="eastAsia" w:ascii="仿宋" w:hAnsi="仿宋" w:eastAsia="仿宋" w:cs="仿宋"/>
          <w:b/>
          <w:sz w:val="25"/>
          <w:szCs w:val="25"/>
          <w:highlight w:val="none"/>
          <w:u w:val="single"/>
        </w:rPr>
        <w:t xml:space="preserve"> </w:t>
      </w:r>
      <w:r>
        <w:rPr>
          <w:rFonts w:hint="eastAsia" w:cs="仿宋"/>
          <w:sz w:val="25"/>
          <w:szCs w:val="25"/>
          <w:highlight w:val="none"/>
          <w:u w:val="single"/>
          <w:lang w:eastAsia="zh-CN"/>
        </w:rPr>
        <w:t>陕西省高速公路路政执法总队第五支队</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（以下简称甲方）</w:t>
      </w:r>
      <w:r>
        <w:rPr>
          <w:rFonts w:hint="eastAsia" w:ascii="仿宋" w:hAnsi="仿宋" w:eastAsia="仿宋" w:cs="仿宋"/>
          <w:sz w:val="25"/>
          <w:szCs w:val="25"/>
          <w:highlight w:val="none"/>
          <w:u w:val="single"/>
        </w:rPr>
        <w:t xml:space="preserve"> </w:t>
      </w:r>
      <w:r>
        <w:rPr>
          <w:rFonts w:hint="eastAsia" w:cs="仿宋"/>
          <w:sz w:val="25"/>
          <w:szCs w:val="25"/>
          <w:highlight w:val="none"/>
          <w:u w:val="single"/>
          <w:lang w:val="en-US" w:eastAsia="zh-CN"/>
        </w:rPr>
        <w:t xml:space="preserve">         </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（以下简称乙方）经友好协商，就甲方部分业务的服务外包事宜，共同签署本合同，以资共同遵守。</w:t>
      </w:r>
    </w:p>
    <w:p w14:paraId="2A958FC9">
      <w:pPr>
        <w:tabs>
          <w:tab w:val="left" w:pos="0"/>
          <w:tab w:val="left" w:pos="405"/>
          <w:tab w:val="left" w:pos="567"/>
          <w:tab w:val="left" w:pos="601"/>
          <w:tab w:val="left" w:pos="1980"/>
        </w:tabs>
        <w:spacing w:line="56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本合同对甲乙双方权利义务及服务外包作相关约定，具体外包服务性质、要求以及外包费用，双方可另行签订补充合同作为本合同的附件，与本合同具有同等的法律效力。</w:t>
      </w:r>
    </w:p>
    <w:p w14:paraId="70729305">
      <w:pPr>
        <w:pStyle w:val="13"/>
        <w:tabs>
          <w:tab w:val="left" w:pos="0"/>
          <w:tab w:val="left" w:pos="405"/>
          <w:tab w:val="left" w:pos="567"/>
          <w:tab w:val="left" w:pos="601"/>
          <w:tab w:val="left" w:pos="1980"/>
        </w:tabs>
        <w:spacing w:line="56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第二条 </w:t>
      </w:r>
      <w:r>
        <w:rPr>
          <w:rFonts w:hint="eastAsia" w:ascii="仿宋" w:hAnsi="仿宋" w:eastAsia="仿宋" w:cs="仿宋"/>
          <w:sz w:val="25"/>
          <w:szCs w:val="25"/>
          <w:highlight w:val="none"/>
        </w:rPr>
        <w:t>服务项目外包定义：甲方根据自身需要，将部分业务交由具有该类业务服务经验、良好的业绩、完备的资质、以及高效的管理团队的乙方进行代理，要求乙方服务人员到甲方的服务场所，利用甲方的服务工具和设备进行工作，乙方承诺在确保满足甲方要求的服务标准和业务水平的前提下，于本合同期内，为甲方提供相应外包项目服务，甲方向乙方支付项目外包费用。</w:t>
      </w:r>
    </w:p>
    <w:p w14:paraId="77C16B3F">
      <w:pPr>
        <w:pStyle w:val="13"/>
        <w:tabs>
          <w:tab w:val="left" w:pos="0"/>
          <w:tab w:val="left" w:pos="405"/>
          <w:tab w:val="left" w:pos="567"/>
          <w:tab w:val="left" w:pos="601"/>
          <w:tab w:val="left" w:pos="1980"/>
        </w:tabs>
        <w:spacing w:line="56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第三条</w:t>
      </w:r>
      <w:r>
        <w:rPr>
          <w:rFonts w:hint="eastAsia" w:ascii="仿宋" w:hAnsi="仿宋" w:eastAsia="仿宋" w:cs="仿宋"/>
          <w:sz w:val="25"/>
          <w:szCs w:val="25"/>
          <w:highlight w:val="none"/>
        </w:rPr>
        <w:t xml:space="preserve"> 乙方外包服务人员：是指乙方派出的符合本合同资格条件的、在甲方从事本合同规定的外包服务范围以内工作的人员。所有工作人员在劳动人事、工资福利等各方面均隶属于乙方。乙方有义务在本合同有效期内维持其与外包服务人员合法的劳动合同关系，不得因与外包服务人员间就劳动法律关系或在其他方面的任何争议或瑕疵影响其履行在本合同项下的义务。</w:t>
      </w:r>
    </w:p>
    <w:p w14:paraId="21D652A4">
      <w:pPr>
        <w:pStyle w:val="13"/>
        <w:tabs>
          <w:tab w:val="left" w:pos="0"/>
          <w:tab w:val="left" w:pos="405"/>
          <w:tab w:val="left" w:pos="567"/>
          <w:tab w:val="left" w:pos="601"/>
          <w:tab w:val="left" w:pos="1980"/>
        </w:tabs>
        <w:spacing w:line="56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第四条</w:t>
      </w:r>
      <w:r>
        <w:rPr>
          <w:rFonts w:hint="eastAsia" w:ascii="仿宋" w:hAnsi="仿宋" w:eastAsia="仿宋" w:cs="仿宋"/>
          <w:sz w:val="25"/>
          <w:szCs w:val="25"/>
          <w:highlight w:val="none"/>
        </w:rPr>
        <w:t xml:space="preserve"> 除双方另有约定外，甲乙双方之间任何与本合同相关的正式信函以及结算，均使用并且只能使用本合同中甲、乙双方指定的地址和银行开户帐号。</w:t>
      </w:r>
    </w:p>
    <w:p w14:paraId="7252045B">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73356C31">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686F90AA">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61DAC620">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099335F5">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2448CD7C">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tbl>
      <w:tblPr>
        <w:tblStyle w:val="10"/>
        <w:tblpPr w:leftFromText="180" w:rightFromText="180" w:vertAnchor="text" w:horzAnchor="margin" w:tblpX="-253" w:tblpY="466"/>
        <w:tblOverlap w:val="never"/>
        <w:tblW w:w="10199" w:type="dxa"/>
        <w:tblInd w:w="0" w:type="dxa"/>
        <w:tblLayout w:type="fixed"/>
        <w:tblCellMar>
          <w:top w:w="0" w:type="dxa"/>
          <w:left w:w="108" w:type="dxa"/>
          <w:bottom w:w="0" w:type="dxa"/>
          <w:right w:w="108" w:type="dxa"/>
        </w:tblCellMar>
      </w:tblPr>
      <w:tblGrid>
        <w:gridCol w:w="1377"/>
        <w:gridCol w:w="3960"/>
        <w:gridCol w:w="1578"/>
        <w:gridCol w:w="3284"/>
      </w:tblGrid>
      <w:tr w14:paraId="05DB4A7E">
        <w:tblPrEx>
          <w:tblCellMar>
            <w:top w:w="0" w:type="dxa"/>
            <w:left w:w="108" w:type="dxa"/>
            <w:bottom w:w="0" w:type="dxa"/>
            <w:right w:w="108" w:type="dxa"/>
          </w:tblCellMar>
        </w:tblPrEx>
        <w:trPr>
          <w:trHeight w:val="465" w:hRule="exact"/>
        </w:trPr>
        <w:tc>
          <w:tcPr>
            <w:tcW w:w="5337" w:type="dxa"/>
            <w:gridSpan w:val="2"/>
            <w:tcBorders>
              <w:top w:val="nil"/>
              <w:left w:val="nil"/>
              <w:bottom w:val="nil"/>
              <w:right w:val="nil"/>
            </w:tcBorders>
            <w:vAlign w:val="center"/>
          </w:tcPr>
          <w:p w14:paraId="36A4B80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sz w:val="24"/>
                <w:szCs w:val="24"/>
                <w:highlight w:val="none"/>
              </w:rPr>
            </w:pPr>
            <w:r>
              <w:rPr>
                <w:rFonts w:hint="eastAsia" w:ascii="仿宋" w:hAnsi="仿宋" w:eastAsia="仿宋" w:cs="仿宋"/>
                <w:b/>
                <w:sz w:val="24"/>
                <w:szCs w:val="24"/>
                <w:highlight w:val="none"/>
              </w:rPr>
              <w:t>甲方</w:t>
            </w:r>
          </w:p>
        </w:tc>
        <w:tc>
          <w:tcPr>
            <w:tcW w:w="4862" w:type="dxa"/>
            <w:gridSpan w:val="2"/>
            <w:tcBorders>
              <w:top w:val="nil"/>
              <w:left w:val="nil"/>
              <w:bottom w:val="nil"/>
              <w:right w:val="nil"/>
            </w:tcBorders>
            <w:vAlign w:val="center"/>
          </w:tcPr>
          <w:p w14:paraId="1EDEE65D">
            <w:pPr>
              <w:pStyle w:val="13"/>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sz w:val="24"/>
                <w:szCs w:val="24"/>
                <w:highlight w:val="none"/>
              </w:rPr>
            </w:pPr>
            <w:r>
              <w:rPr>
                <w:rFonts w:hint="eastAsia" w:ascii="仿宋" w:hAnsi="仿宋" w:eastAsia="仿宋" w:cs="仿宋"/>
                <w:b/>
                <w:kern w:val="2"/>
                <w:sz w:val="24"/>
                <w:szCs w:val="24"/>
                <w:highlight w:val="none"/>
              </w:rPr>
              <w:t>乙方</w:t>
            </w:r>
          </w:p>
        </w:tc>
      </w:tr>
      <w:tr w14:paraId="62261A23">
        <w:tblPrEx>
          <w:tblCellMar>
            <w:top w:w="0" w:type="dxa"/>
            <w:left w:w="108" w:type="dxa"/>
            <w:bottom w:w="0" w:type="dxa"/>
            <w:right w:w="108" w:type="dxa"/>
          </w:tblCellMar>
        </w:tblPrEx>
        <w:trPr>
          <w:trHeight w:val="548" w:hRule="exact"/>
        </w:trPr>
        <w:tc>
          <w:tcPr>
            <w:tcW w:w="1377" w:type="dxa"/>
            <w:tcBorders>
              <w:top w:val="nil"/>
              <w:left w:val="nil"/>
              <w:bottom w:val="nil"/>
              <w:right w:val="nil"/>
            </w:tcBorders>
            <w:vAlign w:val="center"/>
          </w:tcPr>
          <w:p w14:paraId="5A3293A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3960" w:type="dxa"/>
            <w:tcBorders>
              <w:top w:val="nil"/>
              <w:left w:val="nil"/>
              <w:bottom w:val="nil"/>
              <w:right w:val="nil"/>
            </w:tcBorders>
            <w:vAlign w:val="center"/>
          </w:tcPr>
          <w:p w14:paraId="5D1EA68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eastAsia="zh-CN"/>
              </w:rPr>
            </w:pPr>
          </w:p>
        </w:tc>
        <w:tc>
          <w:tcPr>
            <w:tcW w:w="1578" w:type="dxa"/>
            <w:tcBorders>
              <w:top w:val="nil"/>
              <w:left w:val="nil"/>
              <w:bottom w:val="nil"/>
              <w:right w:val="nil"/>
            </w:tcBorders>
            <w:vAlign w:val="center"/>
          </w:tcPr>
          <w:p w14:paraId="1559078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3284" w:type="dxa"/>
            <w:tcBorders>
              <w:top w:val="nil"/>
              <w:left w:val="nil"/>
              <w:bottom w:val="nil"/>
              <w:right w:val="nil"/>
            </w:tcBorders>
            <w:vAlign w:val="center"/>
          </w:tcPr>
          <w:p w14:paraId="128A3EE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1E963D45">
        <w:tblPrEx>
          <w:tblCellMar>
            <w:top w:w="0" w:type="dxa"/>
            <w:left w:w="108" w:type="dxa"/>
            <w:bottom w:w="0" w:type="dxa"/>
            <w:right w:w="108" w:type="dxa"/>
          </w:tblCellMar>
        </w:tblPrEx>
        <w:trPr>
          <w:trHeight w:val="547" w:hRule="exact"/>
        </w:trPr>
        <w:tc>
          <w:tcPr>
            <w:tcW w:w="1377" w:type="dxa"/>
            <w:tcBorders>
              <w:top w:val="nil"/>
              <w:left w:val="nil"/>
              <w:bottom w:val="nil"/>
              <w:right w:val="nil"/>
            </w:tcBorders>
            <w:vAlign w:val="center"/>
          </w:tcPr>
          <w:p w14:paraId="13B4F16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通讯地址</w:t>
            </w:r>
          </w:p>
        </w:tc>
        <w:tc>
          <w:tcPr>
            <w:tcW w:w="3960" w:type="dxa"/>
            <w:tcBorders>
              <w:top w:val="nil"/>
              <w:left w:val="nil"/>
              <w:bottom w:val="nil"/>
              <w:right w:val="nil"/>
            </w:tcBorders>
            <w:vAlign w:val="center"/>
          </w:tcPr>
          <w:p w14:paraId="5A2C13B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val="en-US" w:eastAsia="zh-CN"/>
              </w:rPr>
            </w:pPr>
          </w:p>
        </w:tc>
        <w:tc>
          <w:tcPr>
            <w:tcW w:w="1578" w:type="dxa"/>
            <w:tcBorders>
              <w:top w:val="nil"/>
              <w:left w:val="nil"/>
              <w:bottom w:val="nil"/>
              <w:right w:val="nil"/>
            </w:tcBorders>
            <w:vAlign w:val="center"/>
          </w:tcPr>
          <w:p w14:paraId="46E0E84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通讯地址</w:t>
            </w:r>
          </w:p>
        </w:tc>
        <w:tc>
          <w:tcPr>
            <w:tcW w:w="3284" w:type="dxa"/>
            <w:tcBorders>
              <w:top w:val="nil"/>
              <w:left w:val="nil"/>
              <w:bottom w:val="nil"/>
              <w:right w:val="nil"/>
            </w:tcBorders>
            <w:vAlign w:val="center"/>
          </w:tcPr>
          <w:p w14:paraId="3168CA8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77DFF72F">
        <w:tblPrEx>
          <w:tblCellMar>
            <w:top w:w="0" w:type="dxa"/>
            <w:left w:w="108" w:type="dxa"/>
            <w:bottom w:w="0" w:type="dxa"/>
            <w:right w:w="108" w:type="dxa"/>
          </w:tblCellMar>
        </w:tblPrEx>
        <w:trPr>
          <w:trHeight w:val="446" w:hRule="exact"/>
        </w:trPr>
        <w:tc>
          <w:tcPr>
            <w:tcW w:w="1377" w:type="dxa"/>
            <w:tcBorders>
              <w:top w:val="nil"/>
              <w:left w:val="nil"/>
              <w:bottom w:val="nil"/>
              <w:right w:val="nil"/>
            </w:tcBorders>
            <w:vAlign w:val="center"/>
          </w:tcPr>
          <w:p w14:paraId="16834FA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960" w:type="dxa"/>
            <w:tcBorders>
              <w:top w:val="nil"/>
              <w:left w:val="nil"/>
              <w:bottom w:val="nil"/>
              <w:right w:val="nil"/>
            </w:tcBorders>
            <w:vAlign w:val="center"/>
          </w:tcPr>
          <w:p w14:paraId="36A2C62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rPr>
            </w:pPr>
          </w:p>
        </w:tc>
        <w:tc>
          <w:tcPr>
            <w:tcW w:w="1578" w:type="dxa"/>
            <w:tcBorders>
              <w:top w:val="nil"/>
              <w:left w:val="nil"/>
              <w:bottom w:val="nil"/>
              <w:right w:val="nil"/>
            </w:tcBorders>
            <w:vAlign w:val="center"/>
          </w:tcPr>
          <w:p w14:paraId="1910AD5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284" w:type="dxa"/>
            <w:tcBorders>
              <w:top w:val="nil"/>
              <w:left w:val="nil"/>
              <w:bottom w:val="nil"/>
              <w:right w:val="nil"/>
            </w:tcBorders>
            <w:vAlign w:val="center"/>
          </w:tcPr>
          <w:p w14:paraId="761BFBC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rPr>
            </w:pPr>
          </w:p>
        </w:tc>
      </w:tr>
      <w:tr w14:paraId="2C7277A8">
        <w:tblPrEx>
          <w:tblCellMar>
            <w:top w:w="0" w:type="dxa"/>
            <w:left w:w="108" w:type="dxa"/>
            <w:bottom w:w="0" w:type="dxa"/>
            <w:right w:w="108" w:type="dxa"/>
          </w:tblCellMar>
        </w:tblPrEx>
        <w:trPr>
          <w:trHeight w:val="509" w:hRule="exact"/>
        </w:trPr>
        <w:tc>
          <w:tcPr>
            <w:tcW w:w="1377" w:type="dxa"/>
            <w:tcBorders>
              <w:top w:val="nil"/>
              <w:left w:val="nil"/>
              <w:bottom w:val="nil"/>
              <w:right w:val="nil"/>
            </w:tcBorders>
            <w:vAlign w:val="center"/>
          </w:tcPr>
          <w:p w14:paraId="2246D3D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3960" w:type="dxa"/>
            <w:tcBorders>
              <w:top w:val="nil"/>
              <w:left w:val="nil"/>
              <w:bottom w:val="nil"/>
              <w:right w:val="nil"/>
            </w:tcBorders>
            <w:vAlign w:val="center"/>
          </w:tcPr>
          <w:p w14:paraId="4B02125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val="en-US" w:eastAsia="zh-CN"/>
              </w:rPr>
            </w:pPr>
          </w:p>
        </w:tc>
        <w:tc>
          <w:tcPr>
            <w:tcW w:w="1578" w:type="dxa"/>
            <w:tcBorders>
              <w:top w:val="nil"/>
              <w:left w:val="nil"/>
              <w:bottom w:val="nil"/>
              <w:right w:val="nil"/>
            </w:tcBorders>
            <w:vAlign w:val="center"/>
          </w:tcPr>
          <w:p w14:paraId="60C425D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3284" w:type="dxa"/>
            <w:tcBorders>
              <w:top w:val="nil"/>
              <w:left w:val="nil"/>
              <w:bottom w:val="nil"/>
              <w:right w:val="nil"/>
            </w:tcBorders>
            <w:vAlign w:val="center"/>
          </w:tcPr>
          <w:p w14:paraId="1473829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rPr>
            </w:pPr>
          </w:p>
          <w:p w14:paraId="14E24F7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6F06E10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54E6016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7BBE882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4888AAA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19DB498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587088C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60D0183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71A82E4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293A3FD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267C524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04BBB7C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70A83F9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2C2FDF4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tc>
      </w:tr>
      <w:tr w14:paraId="41738AEE">
        <w:tblPrEx>
          <w:tblCellMar>
            <w:top w:w="0" w:type="dxa"/>
            <w:left w:w="108" w:type="dxa"/>
            <w:bottom w:w="0" w:type="dxa"/>
            <w:right w:w="108" w:type="dxa"/>
          </w:tblCellMar>
        </w:tblPrEx>
        <w:trPr>
          <w:trHeight w:val="559" w:hRule="exact"/>
        </w:trPr>
        <w:tc>
          <w:tcPr>
            <w:tcW w:w="1377" w:type="dxa"/>
            <w:tcBorders>
              <w:top w:val="nil"/>
              <w:left w:val="nil"/>
              <w:bottom w:val="nil"/>
              <w:right w:val="nil"/>
            </w:tcBorders>
            <w:vAlign w:val="center"/>
          </w:tcPr>
          <w:p w14:paraId="46EC463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960" w:type="dxa"/>
            <w:tcBorders>
              <w:top w:val="nil"/>
              <w:left w:val="nil"/>
              <w:bottom w:val="nil"/>
              <w:right w:val="nil"/>
            </w:tcBorders>
            <w:vAlign w:val="center"/>
          </w:tcPr>
          <w:p w14:paraId="691DECD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rPr>
            </w:pPr>
          </w:p>
        </w:tc>
        <w:tc>
          <w:tcPr>
            <w:tcW w:w="1578" w:type="dxa"/>
            <w:tcBorders>
              <w:top w:val="nil"/>
              <w:left w:val="nil"/>
              <w:bottom w:val="nil"/>
              <w:right w:val="nil"/>
            </w:tcBorders>
            <w:vAlign w:val="center"/>
          </w:tcPr>
          <w:p w14:paraId="2A9C4EB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284" w:type="dxa"/>
            <w:tcBorders>
              <w:top w:val="nil"/>
              <w:left w:val="nil"/>
              <w:bottom w:val="nil"/>
              <w:right w:val="nil"/>
            </w:tcBorders>
            <w:vAlign w:val="center"/>
          </w:tcPr>
          <w:p w14:paraId="4376B7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tc>
      </w:tr>
      <w:tr w14:paraId="60428811">
        <w:tblPrEx>
          <w:tblCellMar>
            <w:top w:w="0" w:type="dxa"/>
            <w:left w:w="108" w:type="dxa"/>
            <w:bottom w:w="0" w:type="dxa"/>
            <w:right w:w="108" w:type="dxa"/>
          </w:tblCellMar>
        </w:tblPrEx>
        <w:trPr>
          <w:trHeight w:val="558" w:hRule="exact"/>
        </w:trPr>
        <w:tc>
          <w:tcPr>
            <w:tcW w:w="1377" w:type="dxa"/>
            <w:tcBorders>
              <w:top w:val="nil"/>
              <w:left w:val="nil"/>
              <w:bottom w:val="nil"/>
              <w:right w:val="nil"/>
            </w:tcBorders>
            <w:vAlign w:val="center"/>
          </w:tcPr>
          <w:p w14:paraId="26D1E6D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户    名</w:t>
            </w:r>
          </w:p>
        </w:tc>
        <w:tc>
          <w:tcPr>
            <w:tcW w:w="3960" w:type="dxa"/>
            <w:tcBorders>
              <w:top w:val="nil"/>
              <w:left w:val="nil"/>
              <w:bottom w:val="nil"/>
              <w:right w:val="nil"/>
            </w:tcBorders>
            <w:vAlign w:val="center"/>
          </w:tcPr>
          <w:p w14:paraId="776AD9D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eastAsia="zh-CN"/>
              </w:rPr>
            </w:pPr>
          </w:p>
        </w:tc>
        <w:tc>
          <w:tcPr>
            <w:tcW w:w="1578" w:type="dxa"/>
            <w:tcBorders>
              <w:top w:val="nil"/>
              <w:left w:val="nil"/>
              <w:bottom w:val="nil"/>
              <w:right w:val="nil"/>
            </w:tcBorders>
            <w:vAlign w:val="center"/>
          </w:tcPr>
          <w:p w14:paraId="389B8E3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户    名</w:t>
            </w:r>
          </w:p>
        </w:tc>
        <w:tc>
          <w:tcPr>
            <w:tcW w:w="3284" w:type="dxa"/>
            <w:tcBorders>
              <w:top w:val="nil"/>
              <w:left w:val="nil"/>
              <w:bottom w:val="nil"/>
              <w:right w:val="nil"/>
            </w:tcBorders>
            <w:vAlign w:val="center"/>
          </w:tcPr>
          <w:p w14:paraId="02225D5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3D8F474A">
        <w:tblPrEx>
          <w:tblCellMar>
            <w:top w:w="0" w:type="dxa"/>
            <w:left w:w="108" w:type="dxa"/>
            <w:bottom w:w="0" w:type="dxa"/>
            <w:right w:w="108" w:type="dxa"/>
          </w:tblCellMar>
        </w:tblPrEx>
        <w:trPr>
          <w:trHeight w:val="676" w:hRule="exact"/>
        </w:trPr>
        <w:tc>
          <w:tcPr>
            <w:tcW w:w="1377" w:type="dxa"/>
            <w:tcBorders>
              <w:top w:val="nil"/>
              <w:left w:val="nil"/>
              <w:bottom w:val="nil"/>
              <w:right w:val="nil"/>
            </w:tcBorders>
            <w:vAlign w:val="center"/>
          </w:tcPr>
          <w:p w14:paraId="2146B30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960" w:type="dxa"/>
            <w:tcBorders>
              <w:top w:val="nil"/>
              <w:left w:val="nil"/>
              <w:bottom w:val="nil"/>
              <w:right w:val="nil"/>
            </w:tcBorders>
            <w:vAlign w:val="center"/>
          </w:tcPr>
          <w:p w14:paraId="23E5622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c>
          <w:tcPr>
            <w:tcW w:w="1578" w:type="dxa"/>
            <w:tcBorders>
              <w:top w:val="nil"/>
              <w:left w:val="nil"/>
              <w:bottom w:val="nil"/>
              <w:right w:val="nil"/>
            </w:tcBorders>
            <w:vAlign w:val="center"/>
          </w:tcPr>
          <w:p w14:paraId="2D4D6D4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284" w:type="dxa"/>
            <w:tcBorders>
              <w:top w:val="nil"/>
              <w:left w:val="nil"/>
              <w:bottom w:val="nil"/>
              <w:right w:val="nil"/>
            </w:tcBorders>
            <w:vAlign w:val="center"/>
          </w:tcPr>
          <w:p w14:paraId="504D3B0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0A61B833">
        <w:tblPrEx>
          <w:tblCellMar>
            <w:top w:w="0" w:type="dxa"/>
            <w:left w:w="108" w:type="dxa"/>
            <w:bottom w:w="0" w:type="dxa"/>
            <w:right w:w="108" w:type="dxa"/>
          </w:tblCellMar>
        </w:tblPrEx>
        <w:trPr>
          <w:trHeight w:val="560" w:hRule="exact"/>
        </w:trPr>
        <w:tc>
          <w:tcPr>
            <w:tcW w:w="1377" w:type="dxa"/>
            <w:tcBorders>
              <w:top w:val="nil"/>
              <w:left w:val="nil"/>
              <w:bottom w:val="nil"/>
              <w:right w:val="nil"/>
            </w:tcBorders>
            <w:vAlign w:val="center"/>
          </w:tcPr>
          <w:p w14:paraId="2FDD8B9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银行帐号</w:t>
            </w:r>
          </w:p>
        </w:tc>
        <w:tc>
          <w:tcPr>
            <w:tcW w:w="3960" w:type="dxa"/>
            <w:tcBorders>
              <w:top w:val="nil"/>
              <w:left w:val="nil"/>
              <w:bottom w:val="nil"/>
              <w:right w:val="nil"/>
            </w:tcBorders>
            <w:vAlign w:val="center"/>
          </w:tcPr>
          <w:p w14:paraId="4073E2D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eastAsia="zh-CN"/>
              </w:rPr>
            </w:pPr>
          </w:p>
        </w:tc>
        <w:tc>
          <w:tcPr>
            <w:tcW w:w="1578" w:type="dxa"/>
            <w:tcBorders>
              <w:top w:val="nil"/>
              <w:left w:val="nil"/>
              <w:bottom w:val="nil"/>
              <w:right w:val="nil"/>
            </w:tcBorders>
            <w:vAlign w:val="center"/>
          </w:tcPr>
          <w:p w14:paraId="37370EF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银行帐号</w:t>
            </w:r>
          </w:p>
        </w:tc>
        <w:tc>
          <w:tcPr>
            <w:tcW w:w="3284" w:type="dxa"/>
            <w:tcBorders>
              <w:top w:val="nil"/>
              <w:left w:val="nil"/>
              <w:bottom w:val="nil"/>
              <w:right w:val="nil"/>
            </w:tcBorders>
            <w:vAlign w:val="center"/>
          </w:tcPr>
          <w:p w14:paraId="5F4A358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eastAsia="zh-CN"/>
              </w:rPr>
            </w:pPr>
          </w:p>
        </w:tc>
      </w:tr>
    </w:tbl>
    <w:p w14:paraId="6F96709F">
      <w:pPr>
        <w:pStyle w:val="13"/>
        <w:tabs>
          <w:tab w:val="left" w:pos="0"/>
          <w:tab w:val="left" w:pos="567"/>
          <w:tab w:val="left" w:pos="601"/>
        </w:tabs>
        <w:spacing w:before="156" w:beforeLines="5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第五条</w:t>
      </w:r>
      <w:r>
        <w:rPr>
          <w:rFonts w:hint="eastAsia" w:ascii="仿宋" w:hAnsi="仿宋" w:eastAsia="仿宋" w:cs="仿宋"/>
          <w:sz w:val="25"/>
          <w:szCs w:val="25"/>
          <w:highlight w:val="none"/>
        </w:rPr>
        <w:t xml:space="preserve"> 甲乙任一方的名称、法定地址若有变更，变更一方应至少提前十个工作日书面通知对方。该书面通知须加盖变更方公章并经本合同授权代表签字确认后生效；甲乙双方的帐户名称、开户银行、银行帐号有变更的，变更方应在本合同约定的相关付款期限十个工作日前以加盖财务专用章的书面文件的原件通知对方。</w:t>
      </w:r>
    </w:p>
    <w:p w14:paraId="3B81EDE1">
      <w:pPr>
        <w:spacing w:before="120" w:line="500" w:lineRule="exact"/>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第二章  服务外包项目范围和方式</w:t>
      </w:r>
    </w:p>
    <w:p w14:paraId="1B831E16">
      <w:pPr>
        <w:widowControl/>
        <w:spacing w:line="560" w:lineRule="exact"/>
        <w:ind w:firstLine="502" w:firstLineChars="200"/>
        <w:jc w:val="left"/>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 xml:space="preserve">第六条 </w:t>
      </w:r>
      <w:r>
        <w:rPr>
          <w:rFonts w:hint="eastAsia" w:ascii="仿宋" w:hAnsi="仿宋" w:eastAsia="仿宋" w:cs="仿宋"/>
          <w:kern w:val="0"/>
          <w:sz w:val="25"/>
          <w:szCs w:val="25"/>
          <w:highlight w:val="none"/>
        </w:rPr>
        <w:t>甲方将以下项目外包给乙方：</w:t>
      </w:r>
    </w:p>
    <w:p w14:paraId="09EDB4E4">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（一）项目隶属：甲方及甲方所属分支机构；</w:t>
      </w:r>
    </w:p>
    <w:p w14:paraId="7CA7AE2E">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（二）项目性质：乙方资质所涵盖的符合甲方需要的服务性项目；</w:t>
      </w:r>
    </w:p>
    <w:p w14:paraId="63D14220">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（三）服务项目内容：</w:t>
      </w:r>
      <w:r>
        <w:rPr>
          <w:rFonts w:hint="eastAsia" w:ascii="仿宋" w:hAnsi="仿宋" w:eastAsia="仿宋" w:cs="仿宋"/>
          <w:kern w:val="0"/>
          <w:sz w:val="25"/>
          <w:szCs w:val="25"/>
          <w:highlight w:val="none"/>
          <w:u w:val="single"/>
        </w:rPr>
        <w:t xml:space="preserve"> </w:t>
      </w:r>
      <w:r>
        <w:rPr>
          <w:rFonts w:hint="eastAsia" w:cs="仿宋"/>
          <w:kern w:val="0"/>
          <w:sz w:val="25"/>
          <w:szCs w:val="25"/>
          <w:highlight w:val="none"/>
          <w:u w:val="single"/>
          <w:lang w:val="en-US" w:eastAsia="zh-CN"/>
        </w:rPr>
        <w:t>9名</w:t>
      </w:r>
      <w:r>
        <w:rPr>
          <w:rFonts w:hint="eastAsia" w:ascii="仿宋" w:hAnsi="仿宋" w:eastAsia="仿宋" w:cs="仿宋"/>
          <w:kern w:val="0"/>
          <w:sz w:val="25"/>
          <w:szCs w:val="25"/>
          <w:highlight w:val="none"/>
          <w:u w:val="single"/>
          <w:lang w:eastAsia="zh-CN"/>
        </w:rPr>
        <w:t>司机</w:t>
      </w:r>
      <w:r>
        <w:rPr>
          <w:rFonts w:hint="eastAsia" w:cs="仿宋"/>
          <w:kern w:val="0"/>
          <w:sz w:val="25"/>
          <w:szCs w:val="25"/>
          <w:highlight w:val="none"/>
          <w:u w:val="single"/>
          <w:lang w:val="en-US" w:eastAsia="zh-CN"/>
        </w:rPr>
        <w:t>及1名炊事员</w:t>
      </w:r>
      <w:r>
        <w:rPr>
          <w:rFonts w:hint="eastAsia" w:ascii="仿宋" w:hAnsi="仿宋" w:eastAsia="仿宋" w:cs="仿宋"/>
          <w:kern w:val="0"/>
          <w:sz w:val="25"/>
          <w:szCs w:val="25"/>
          <w:highlight w:val="none"/>
          <w:u w:val="single"/>
        </w:rPr>
        <w:t xml:space="preserve">   </w:t>
      </w:r>
      <w:r>
        <w:rPr>
          <w:rFonts w:hint="eastAsia" w:ascii="仿宋" w:hAnsi="仿宋" w:eastAsia="仿宋" w:cs="仿宋"/>
          <w:kern w:val="0"/>
          <w:sz w:val="25"/>
          <w:szCs w:val="25"/>
          <w:highlight w:val="none"/>
          <w:u w:val="single"/>
          <w:lang w:val="en-US" w:eastAsia="zh-CN"/>
        </w:rPr>
        <w:t xml:space="preserve">  </w:t>
      </w:r>
      <w:r>
        <w:rPr>
          <w:rFonts w:hint="eastAsia" w:ascii="仿宋" w:hAnsi="仿宋" w:eastAsia="仿宋" w:cs="仿宋"/>
          <w:kern w:val="0"/>
          <w:sz w:val="25"/>
          <w:szCs w:val="25"/>
          <w:highlight w:val="none"/>
        </w:rPr>
        <w:t>。</w:t>
      </w:r>
    </w:p>
    <w:p w14:paraId="46217AE5">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（四）服务项目</w:t>
      </w:r>
    </w:p>
    <w:tbl>
      <w:tblPr>
        <w:tblStyle w:val="10"/>
        <w:tblW w:w="8019" w:type="dxa"/>
        <w:tblInd w:w="829" w:type="dxa"/>
        <w:tblLayout w:type="fixed"/>
        <w:tblCellMar>
          <w:top w:w="0" w:type="dxa"/>
          <w:left w:w="108" w:type="dxa"/>
          <w:bottom w:w="0" w:type="dxa"/>
          <w:right w:w="108" w:type="dxa"/>
        </w:tblCellMar>
      </w:tblPr>
      <w:tblGrid>
        <w:gridCol w:w="4165"/>
        <w:gridCol w:w="3854"/>
      </w:tblGrid>
      <w:tr w14:paraId="3E2F7286">
        <w:tblPrEx>
          <w:tblCellMar>
            <w:top w:w="0" w:type="dxa"/>
            <w:left w:w="108" w:type="dxa"/>
            <w:bottom w:w="0" w:type="dxa"/>
            <w:right w:w="108" w:type="dxa"/>
          </w:tblCellMar>
        </w:tblPrEx>
        <w:trPr>
          <w:trHeight w:val="1016" w:hRule="atLeast"/>
        </w:trPr>
        <w:tc>
          <w:tcPr>
            <w:tcW w:w="4165" w:type="dxa"/>
            <w:tcBorders>
              <w:top w:val="single" w:color="auto" w:sz="4" w:space="0"/>
              <w:left w:val="single" w:color="auto" w:sz="4" w:space="0"/>
              <w:bottom w:val="single" w:color="auto" w:sz="4" w:space="0"/>
              <w:right w:val="single" w:color="auto" w:sz="4" w:space="0"/>
            </w:tcBorders>
            <w:vAlign w:val="center"/>
          </w:tcPr>
          <w:p w14:paraId="3474C08D">
            <w:pPr>
              <w:widowControl/>
              <w:jc w:val="left"/>
              <w:rPr>
                <w:rFonts w:hint="eastAsia" w:ascii="仿宋" w:hAnsi="仿宋" w:eastAsia="仿宋" w:cs="仿宋"/>
                <w:sz w:val="25"/>
                <w:szCs w:val="25"/>
                <w:highlight w:val="none"/>
                <w:lang w:eastAsia="zh-CN"/>
              </w:rPr>
            </w:pPr>
            <w:r>
              <w:rPr>
                <w:rFonts w:hint="eastAsia" w:ascii="仿宋" w:hAnsi="仿宋" w:eastAsia="仿宋" w:cs="仿宋"/>
                <w:sz w:val="25"/>
                <w:szCs w:val="25"/>
                <w:highlight w:val="none"/>
              </w:rPr>
              <w:t>1.</w:t>
            </w:r>
            <w:r>
              <w:rPr>
                <w:rFonts w:hint="eastAsia" w:ascii="仿宋" w:hAnsi="仿宋" w:eastAsia="仿宋" w:cs="仿宋"/>
                <w:sz w:val="25"/>
                <w:szCs w:val="25"/>
                <w:highlight w:val="none"/>
                <w:lang w:eastAsia="zh-CN"/>
              </w:rPr>
              <w:t>司机岗位</w:t>
            </w:r>
          </w:p>
        </w:tc>
        <w:tc>
          <w:tcPr>
            <w:tcW w:w="3854" w:type="dxa"/>
            <w:tcBorders>
              <w:top w:val="single" w:color="auto" w:sz="4" w:space="0"/>
              <w:left w:val="nil"/>
              <w:bottom w:val="single" w:color="auto" w:sz="4" w:space="0"/>
              <w:right w:val="single" w:color="auto" w:sz="4" w:space="0"/>
            </w:tcBorders>
            <w:vAlign w:val="center"/>
          </w:tcPr>
          <w:p w14:paraId="6C594CAB">
            <w:pPr>
              <w:widowControl/>
              <w:jc w:val="left"/>
              <w:rPr>
                <w:rFonts w:hint="default" w:ascii="仿宋" w:hAnsi="仿宋" w:eastAsia="仿宋" w:cs="仿宋"/>
                <w:color w:val="000000"/>
                <w:kern w:val="0"/>
                <w:sz w:val="25"/>
                <w:szCs w:val="25"/>
                <w:highlight w:val="none"/>
                <w:lang w:val="en-US" w:eastAsia="zh-CN"/>
              </w:rPr>
            </w:pPr>
            <w:r>
              <w:rPr>
                <w:rFonts w:hint="eastAsia" w:cs="仿宋"/>
                <w:color w:val="000000"/>
                <w:kern w:val="0"/>
                <w:sz w:val="25"/>
                <w:szCs w:val="25"/>
                <w:highlight w:val="none"/>
                <w:lang w:val="en-US" w:eastAsia="zh-CN"/>
              </w:rPr>
              <w:t>9名</w:t>
            </w:r>
          </w:p>
        </w:tc>
      </w:tr>
      <w:tr w14:paraId="15971A71">
        <w:tblPrEx>
          <w:tblCellMar>
            <w:top w:w="0" w:type="dxa"/>
            <w:left w:w="108" w:type="dxa"/>
            <w:bottom w:w="0" w:type="dxa"/>
            <w:right w:w="108" w:type="dxa"/>
          </w:tblCellMar>
        </w:tblPrEx>
        <w:trPr>
          <w:trHeight w:val="1081" w:hRule="atLeast"/>
        </w:trPr>
        <w:tc>
          <w:tcPr>
            <w:tcW w:w="4165" w:type="dxa"/>
            <w:tcBorders>
              <w:top w:val="nil"/>
              <w:left w:val="single" w:color="auto" w:sz="4" w:space="0"/>
              <w:bottom w:val="single" w:color="auto" w:sz="4" w:space="0"/>
              <w:right w:val="single" w:color="auto" w:sz="4" w:space="0"/>
            </w:tcBorders>
            <w:vAlign w:val="center"/>
          </w:tcPr>
          <w:p w14:paraId="11ABF207">
            <w:pPr>
              <w:widowControl/>
              <w:jc w:val="left"/>
              <w:rPr>
                <w:rFonts w:hint="default" w:ascii="仿宋" w:hAnsi="仿宋" w:eastAsia="仿宋" w:cs="仿宋"/>
                <w:sz w:val="25"/>
                <w:szCs w:val="25"/>
                <w:highlight w:val="none"/>
                <w:lang w:val="en-US" w:eastAsia="zh-CN"/>
              </w:rPr>
            </w:pPr>
            <w:r>
              <w:rPr>
                <w:rFonts w:hint="eastAsia" w:cs="仿宋"/>
                <w:sz w:val="25"/>
                <w:szCs w:val="25"/>
                <w:highlight w:val="none"/>
                <w:lang w:val="en-US" w:eastAsia="zh-CN"/>
              </w:rPr>
              <w:t>2、炊事员</w:t>
            </w:r>
          </w:p>
        </w:tc>
        <w:tc>
          <w:tcPr>
            <w:tcW w:w="3854" w:type="dxa"/>
            <w:tcBorders>
              <w:top w:val="nil"/>
              <w:left w:val="nil"/>
              <w:bottom w:val="single" w:color="auto" w:sz="4" w:space="0"/>
              <w:right w:val="single" w:color="auto" w:sz="4" w:space="0"/>
            </w:tcBorders>
            <w:vAlign w:val="center"/>
          </w:tcPr>
          <w:p w14:paraId="0FC0632F">
            <w:pPr>
              <w:widowControl/>
              <w:jc w:val="left"/>
              <w:rPr>
                <w:rFonts w:hint="default" w:ascii="仿宋" w:hAnsi="仿宋" w:eastAsia="仿宋" w:cs="仿宋"/>
                <w:color w:val="000000"/>
                <w:kern w:val="0"/>
                <w:sz w:val="25"/>
                <w:szCs w:val="25"/>
                <w:highlight w:val="none"/>
                <w:lang w:val="en-US" w:eastAsia="zh-CN"/>
              </w:rPr>
            </w:pPr>
            <w:r>
              <w:rPr>
                <w:rFonts w:hint="eastAsia" w:cs="仿宋"/>
                <w:color w:val="000000"/>
                <w:kern w:val="0"/>
                <w:sz w:val="25"/>
                <w:szCs w:val="25"/>
                <w:highlight w:val="none"/>
                <w:lang w:val="en-US" w:eastAsia="zh-CN"/>
              </w:rPr>
              <w:t>1名</w:t>
            </w:r>
          </w:p>
        </w:tc>
      </w:tr>
    </w:tbl>
    <w:p w14:paraId="5B655FC1">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bCs/>
          <w:sz w:val="25"/>
          <w:szCs w:val="25"/>
          <w:highlight w:val="none"/>
        </w:rPr>
        <w:t>第七条</w:t>
      </w:r>
      <w:r>
        <w:rPr>
          <w:rFonts w:hint="eastAsia" w:ascii="仿宋" w:hAnsi="仿宋" w:eastAsia="仿宋" w:cs="仿宋"/>
          <w:sz w:val="25"/>
          <w:szCs w:val="25"/>
          <w:highlight w:val="none"/>
        </w:rPr>
        <w:t xml:space="preserve">  甲方负责提供服务场所、设备、设施、工具，并承担服务项目的日常运作费用。</w:t>
      </w:r>
    </w:p>
    <w:p w14:paraId="6D132C95">
      <w:pPr>
        <w:spacing w:line="240" w:lineRule="auto"/>
        <w:ind w:firstLine="0"/>
        <w:jc w:val="center"/>
        <w:rPr>
          <w:rFonts w:hint="eastAsia" w:ascii="仿宋" w:hAnsi="仿宋" w:eastAsia="仿宋" w:cs="仿宋"/>
          <w:b/>
          <w:sz w:val="25"/>
          <w:szCs w:val="25"/>
          <w:highlight w:val="none"/>
        </w:rPr>
      </w:pPr>
    </w:p>
    <w:p w14:paraId="02379B75">
      <w:pPr>
        <w:spacing w:line="240" w:lineRule="auto"/>
        <w:ind w:firstLine="0"/>
        <w:jc w:val="center"/>
        <w:rPr>
          <w:rFonts w:hint="eastAsia" w:ascii="仿宋" w:hAnsi="仿宋" w:eastAsia="仿宋" w:cs="仿宋"/>
          <w:b/>
          <w:sz w:val="25"/>
          <w:szCs w:val="25"/>
          <w:highlight w:val="none"/>
        </w:rPr>
      </w:pPr>
    </w:p>
    <w:p w14:paraId="5BF30821">
      <w:pPr>
        <w:spacing w:line="240" w:lineRule="auto"/>
        <w:ind w:firstLine="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第三章合同期限</w:t>
      </w:r>
    </w:p>
    <w:p w14:paraId="573C333D">
      <w:pPr>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kern w:val="0"/>
          <w:sz w:val="25"/>
          <w:szCs w:val="25"/>
          <w:highlight w:val="none"/>
        </w:rPr>
        <w:t xml:space="preserve">第八条 </w:t>
      </w:r>
      <w:r>
        <w:rPr>
          <w:rFonts w:hint="eastAsia" w:ascii="仿宋" w:hAnsi="仿宋" w:eastAsia="仿宋" w:cs="仿宋"/>
          <w:sz w:val="25"/>
          <w:szCs w:val="25"/>
          <w:highlight w:val="none"/>
        </w:rPr>
        <w:t>本合同经甲、乙双方签字（盖章）后生效，期限为</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u w:val="single"/>
          <w:lang w:val="en-US" w:eastAsia="zh-CN"/>
        </w:rPr>
        <w:t xml:space="preserve"> </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年（自</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年</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月</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日起至</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年</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月</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日止）。任何一方若终止合同，应提前30天以书面形式通知对方。</w:t>
      </w:r>
    </w:p>
    <w:p w14:paraId="0AF2CD44">
      <w:pPr>
        <w:adjustRightInd w:val="0"/>
        <w:snapToGrid w:val="0"/>
        <w:spacing w:line="240" w:lineRule="auto"/>
        <w:ind w:firstLine="0" w:firstLineChars="0"/>
        <w:rPr>
          <w:rFonts w:hint="eastAsia" w:ascii="仿宋" w:hAnsi="仿宋" w:eastAsia="仿宋" w:cs="仿宋"/>
          <w:color w:val="auto"/>
          <w:sz w:val="25"/>
          <w:szCs w:val="25"/>
          <w:highlight w:val="none"/>
        </w:rPr>
      </w:pPr>
    </w:p>
    <w:p w14:paraId="59C3CA21">
      <w:pPr>
        <w:spacing w:line="240" w:lineRule="auto"/>
        <w:ind w:firstLine="0"/>
        <w:jc w:val="center"/>
        <w:rPr>
          <w:rFonts w:hint="eastAsia" w:ascii="仿宋" w:hAnsi="仿宋" w:eastAsia="仿宋" w:cs="仿宋"/>
          <w:b/>
          <w:color w:val="auto"/>
          <w:sz w:val="25"/>
          <w:szCs w:val="25"/>
          <w:highlight w:val="none"/>
        </w:rPr>
      </w:pPr>
      <w:r>
        <w:rPr>
          <w:rFonts w:hint="eastAsia" w:ascii="仿宋" w:hAnsi="仿宋" w:eastAsia="仿宋" w:cs="仿宋"/>
          <w:b/>
          <w:color w:val="auto"/>
          <w:sz w:val="25"/>
          <w:szCs w:val="25"/>
          <w:highlight w:val="none"/>
        </w:rPr>
        <w:t>第四章日常考评及项目验收</w:t>
      </w:r>
    </w:p>
    <w:p w14:paraId="75C76878">
      <w:pPr>
        <w:spacing w:line="240" w:lineRule="auto"/>
        <w:ind w:firstLine="0"/>
        <w:jc w:val="center"/>
        <w:rPr>
          <w:rFonts w:hint="eastAsia" w:ascii="仿宋" w:hAnsi="仿宋" w:eastAsia="仿宋" w:cs="仿宋"/>
          <w:b/>
          <w:color w:val="auto"/>
          <w:sz w:val="25"/>
          <w:szCs w:val="25"/>
          <w:highlight w:val="none"/>
        </w:rPr>
      </w:pPr>
    </w:p>
    <w:p w14:paraId="12BD8846">
      <w:pPr>
        <w:numPr>
          <w:ilvl w:val="0"/>
          <w:numId w:val="1"/>
        </w:numPr>
        <w:spacing w:line="240" w:lineRule="auto"/>
        <w:ind w:left="501" w:firstLine="0"/>
        <w:jc w:val="both"/>
        <w:rPr>
          <w:rFonts w:hint="eastAsia" w:ascii="仿宋" w:hAnsi="仿宋" w:eastAsia="仿宋" w:cs="仿宋"/>
          <w:b/>
          <w:color w:val="auto"/>
          <w:sz w:val="25"/>
          <w:szCs w:val="25"/>
          <w:highlight w:val="none"/>
        </w:rPr>
      </w:pPr>
      <w:r>
        <w:rPr>
          <w:rFonts w:hint="eastAsia" w:ascii="仿宋" w:hAnsi="仿宋" w:eastAsia="仿宋" w:cs="仿宋"/>
          <w:b/>
          <w:color w:val="auto"/>
          <w:sz w:val="25"/>
          <w:szCs w:val="25"/>
          <w:highlight w:val="none"/>
        </w:rPr>
        <w:t>考评细则</w:t>
      </w:r>
    </w:p>
    <w:p w14:paraId="66079A28">
      <w:pPr>
        <w:numPr>
          <w:ilvl w:val="-1"/>
          <w:numId w:val="0"/>
        </w:numPr>
        <w:spacing w:line="240" w:lineRule="auto"/>
        <w:ind w:left="501" w:firstLine="0"/>
        <w:jc w:val="both"/>
        <w:rPr>
          <w:rFonts w:hint="eastAsia" w:ascii="仿宋" w:hAnsi="仿宋" w:eastAsia="仿宋" w:cs="仿宋"/>
          <w:b/>
          <w:color w:val="auto"/>
          <w:sz w:val="25"/>
          <w:szCs w:val="25"/>
          <w:highlight w:val="none"/>
        </w:rPr>
      </w:pPr>
    </w:p>
    <w:p w14:paraId="5734718B">
      <w:pPr>
        <w:pStyle w:val="8"/>
        <w:ind w:firstLine="770" w:firstLineChars="275"/>
        <w:rPr>
          <w:rFonts w:hint="eastAsia" w:ascii="方正小标宋简体" w:hAnsi="方正小标宋简体" w:eastAsia="方正小标宋简体" w:cs="方正小标宋简体"/>
          <w:b w:val="0"/>
          <w:bCs w:val="0"/>
          <w:color w:val="auto"/>
          <w:sz w:val="28"/>
          <w:szCs w:val="28"/>
          <w:highlight w:val="none"/>
          <w:lang w:val="en-US" w:eastAsia="zh-CN"/>
        </w:rPr>
      </w:pPr>
      <w:r>
        <w:rPr>
          <w:rFonts w:hint="eastAsia" w:ascii="方正小标宋简体" w:hAnsi="方正小标宋简体" w:eastAsia="方正小标宋简体" w:cs="方正小标宋简体"/>
          <w:b w:val="0"/>
          <w:bCs w:val="0"/>
          <w:color w:val="auto"/>
          <w:sz w:val="28"/>
          <w:szCs w:val="28"/>
          <w:highlight w:val="none"/>
          <w:lang w:val="en-US" w:eastAsia="zh-CN"/>
        </w:rPr>
        <w:t>陕西省高速公路路政执法总队第五支队服务外包人员考评细则</w:t>
      </w:r>
    </w:p>
    <w:p w14:paraId="6503017F">
      <w:pPr>
        <w:pStyle w:val="9"/>
        <w:rPr>
          <w:rFonts w:hint="eastAsia"/>
          <w:color w:val="auto"/>
          <w:highlight w:val="none"/>
          <w:lang w:val="en-US" w:eastAsia="zh-CN"/>
        </w:rPr>
      </w:pPr>
    </w:p>
    <w:p w14:paraId="27716742">
      <w:pPr>
        <w:pStyle w:val="9"/>
        <w:ind w:left="0" w:leftChars="0" w:firstLine="0" w:firstLineChars="0"/>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组织部门：                                      考评时间：</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78"/>
        <w:gridCol w:w="1389"/>
        <w:gridCol w:w="1134"/>
        <w:gridCol w:w="1134"/>
        <w:gridCol w:w="1134"/>
        <w:gridCol w:w="1134"/>
      </w:tblGrid>
      <w:tr w14:paraId="31B5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trPr>
        <w:tc>
          <w:tcPr>
            <w:tcW w:w="761" w:type="dxa"/>
            <w:noWrap w:val="0"/>
            <w:vAlign w:val="bottom"/>
          </w:tcPr>
          <w:p w14:paraId="3801FBF5">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序号</w:t>
            </w:r>
          </w:p>
        </w:tc>
        <w:tc>
          <w:tcPr>
            <w:tcW w:w="2967" w:type="dxa"/>
            <w:gridSpan w:val="2"/>
            <w:noWrap w:val="0"/>
            <w:vAlign w:val="bottom"/>
          </w:tcPr>
          <w:p w14:paraId="478FB74E">
            <w:pPr>
              <w:pStyle w:val="9"/>
              <w:widowControl w:val="0"/>
              <w:spacing w:line="400" w:lineRule="exact"/>
              <w:jc w:val="left"/>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考评项目</w:t>
            </w:r>
          </w:p>
        </w:tc>
        <w:tc>
          <w:tcPr>
            <w:tcW w:w="1134" w:type="dxa"/>
            <w:noWrap w:val="0"/>
            <w:vAlign w:val="bottom"/>
          </w:tcPr>
          <w:p w14:paraId="215AF876">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分值设定</w:t>
            </w:r>
          </w:p>
        </w:tc>
        <w:tc>
          <w:tcPr>
            <w:tcW w:w="1134" w:type="dxa"/>
            <w:noWrap w:val="0"/>
            <w:vAlign w:val="bottom"/>
          </w:tcPr>
          <w:p w14:paraId="076CFC0D">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考评人员</w:t>
            </w:r>
          </w:p>
        </w:tc>
        <w:tc>
          <w:tcPr>
            <w:tcW w:w="1134" w:type="dxa"/>
            <w:noWrap w:val="0"/>
            <w:vAlign w:val="bottom"/>
          </w:tcPr>
          <w:p w14:paraId="5EF769CF">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考评分值</w:t>
            </w:r>
          </w:p>
        </w:tc>
        <w:tc>
          <w:tcPr>
            <w:tcW w:w="1134" w:type="dxa"/>
            <w:noWrap w:val="0"/>
            <w:vAlign w:val="bottom"/>
          </w:tcPr>
          <w:p w14:paraId="2E8CC094">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备注</w:t>
            </w:r>
          </w:p>
        </w:tc>
      </w:tr>
      <w:tr w14:paraId="62B9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43336842">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w:t>
            </w:r>
          </w:p>
        </w:tc>
        <w:tc>
          <w:tcPr>
            <w:tcW w:w="1578" w:type="dxa"/>
            <w:vMerge w:val="restart"/>
            <w:noWrap w:val="0"/>
            <w:vAlign w:val="center"/>
          </w:tcPr>
          <w:p w14:paraId="57F61CE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服务质量</w:t>
            </w:r>
          </w:p>
          <w:p w14:paraId="71E7988A">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和效率</w:t>
            </w:r>
          </w:p>
        </w:tc>
        <w:tc>
          <w:tcPr>
            <w:tcW w:w="1389" w:type="dxa"/>
            <w:noWrap w:val="0"/>
            <w:vAlign w:val="bottom"/>
          </w:tcPr>
          <w:p w14:paraId="7169A71A">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响应速度</w:t>
            </w:r>
          </w:p>
        </w:tc>
        <w:tc>
          <w:tcPr>
            <w:tcW w:w="1134" w:type="dxa"/>
            <w:noWrap w:val="0"/>
            <w:vAlign w:val="bottom"/>
          </w:tcPr>
          <w:p w14:paraId="31C4646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15</w:t>
            </w:r>
          </w:p>
        </w:tc>
        <w:tc>
          <w:tcPr>
            <w:tcW w:w="1134" w:type="dxa"/>
            <w:noWrap w:val="0"/>
            <w:vAlign w:val="bottom"/>
          </w:tcPr>
          <w:p w14:paraId="24C384C2">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1FCBD981">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6BEB0C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0C13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2A5E67DF">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2</w:t>
            </w:r>
          </w:p>
        </w:tc>
        <w:tc>
          <w:tcPr>
            <w:tcW w:w="1578" w:type="dxa"/>
            <w:vMerge w:val="continue"/>
            <w:noWrap w:val="0"/>
            <w:vAlign w:val="center"/>
          </w:tcPr>
          <w:p w14:paraId="63FF226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30530531">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完成质量</w:t>
            </w:r>
          </w:p>
        </w:tc>
        <w:tc>
          <w:tcPr>
            <w:tcW w:w="1134" w:type="dxa"/>
            <w:noWrap w:val="0"/>
            <w:vAlign w:val="bottom"/>
          </w:tcPr>
          <w:p w14:paraId="57D33EC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15</w:t>
            </w:r>
          </w:p>
        </w:tc>
        <w:tc>
          <w:tcPr>
            <w:tcW w:w="1134" w:type="dxa"/>
            <w:noWrap w:val="0"/>
            <w:vAlign w:val="bottom"/>
          </w:tcPr>
          <w:p w14:paraId="061EC79E">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78AE9C5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1371A328">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0DA6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60E0C0D0">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3</w:t>
            </w:r>
          </w:p>
        </w:tc>
        <w:tc>
          <w:tcPr>
            <w:tcW w:w="1578" w:type="dxa"/>
            <w:vMerge w:val="continue"/>
            <w:noWrap w:val="0"/>
            <w:vAlign w:val="center"/>
          </w:tcPr>
          <w:p w14:paraId="5057D42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2C06C61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业务效率</w:t>
            </w:r>
          </w:p>
        </w:tc>
        <w:tc>
          <w:tcPr>
            <w:tcW w:w="1134" w:type="dxa"/>
            <w:noWrap w:val="0"/>
            <w:vAlign w:val="bottom"/>
          </w:tcPr>
          <w:p w14:paraId="584D175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0091B80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7FAD2F7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2468DF7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5D81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69E62B6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4</w:t>
            </w:r>
          </w:p>
        </w:tc>
        <w:tc>
          <w:tcPr>
            <w:tcW w:w="1578" w:type="dxa"/>
            <w:vMerge w:val="restart"/>
            <w:noWrap w:val="0"/>
            <w:vAlign w:val="center"/>
          </w:tcPr>
          <w:p w14:paraId="3649E27E">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工作能力和 工作态度</w:t>
            </w:r>
          </w:p>
        </w:tc>
        <w:tc>
          <w:tcPr>
            <w:tcW w:w="1389" w:type="dxa"/>
            <w:noWrap w:val="0"/>
            <w:vAlign w:val="bottom"/>
          </w:tcPr>
          <w:p w14:paraId="72D17D7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遵章守法</w:t>
            </w:r>
          </w:p>
        </w:tc>
        <w:tc>
          <w:tcPr>
            <w:tcW w:w="1134" w:type="dxa"/>
            <w:noWrap w:val="0"/>
            <w:vAlign w:val="bottom"/>
          </w:tcPr>
          <w:p w14:paraId="03A28C5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6875BC8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8FC5C9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3BD7A2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3C1B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32F6983F">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5</w:t>
            </w:r>
          </w:p>
        </w:tc>
        <w:tc>
          <w:tcPr>
            <w:tcW w:w="1578" w:type="dxa"/>
            <w:vMerge w:val="continue"/>
            <w:noWrap w:val="0"/>
            <w:vAlign w:val="center"/>
          </w:tcPr>
          <w:p w14:paraId="2BE4C37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5C0DA55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工作能力</w:t>
            </w:r>
          </w:p>
        </w:tc>
        <w:tc>
          <w:tcPr>
            <w:tcW w:w="1134" w:type="dxa"/>
            <w:noWrap w:val="0"/>
            <w:vAlign w:val="bottom"/>
          </w:tcPr>
          <w:p w14:paraId="3A8B17F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3D4A9E10">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46E05B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33D399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05ED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40AC6CB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6</w:t>
            </w:r>
          </w:p>
        </w:tc>
        <w:tc>
          <w:tcPr>
            <w:tcW w:w="1578" w:type="dxa"/>
            <w:vMerge w:val="continue"/>
            <w:noWrap w:val="0"/>
            <w:vAlign w:val="center"/>
          </w:tcPr>
          <w:p w14:paraId="034B848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7230227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责任意识</w:t>
            </w:r>
          </w:p>
        </w:tc>
        <w:tc>
          <w:tcPr>
            <w:tcW w:w="1134" w:type="dxa"/>
            <w:noWrap w:val="0"/>
            <w:vAlign w:val="bottom"/>
          </w:tcPr>
          <w:p w14:paraId="62D3F71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1BC1EFF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1E5EC1C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44BDEF5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497F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46084DA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7</w:t>
            </w:r>
          </w:p>
        </w:tc>
        <w:tc>
          <w:tcPr>
            <w:tcW w:w="1578" w:type="dxa"/>
            <w:vMerge w:val="continue"/>
            <w:noWrap w:val="0"/>
            <w:vAlign w:val="center"/>
          </w:tcPr>
          <w:p w14:paraId="5D28EE40">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287163D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学习能力</w:t>
            </w:r>
          </w:p>
        </w:tc>
        <w:tc>
          <w:tcPr>
            <w:tcW w:w="1134" w:type="dxa"/>
            <w:noWrap w:val="0"/>
            <w:vAlign w:val="bottom"/>
          </w:tcPr>
          <w:p w14:paraId="3723F2F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3BFD6FD6">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453EDD2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66D69486">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62F3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681FBF6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8</w:t>
            </w:r>
          </w:p>
        </w:tc>
        <w:tc>
          <w:tcPr>
            <w:tcW w:w="1578" w:type="dxa"/>
            <w:vMerge w:val="restart"/>
            <w:noWrap w:val="0"/>
            <w:vAlign w:val="center"/>
          </w:tcPr>
          <w:p w14:paraId="6639519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满意度</w:t>
            </w:r>
          </w:p>
        </w:tc>
        <w:tc>
          <w:tcPr>
            <w:tcW w:w="1389" w:type="dxa"/>
            <w:noWrap w:val="0"/>
            <w:vAlign w:val="bottom"/>
          </w:tcPr>
          <w:p w14:paraId="6E90527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同事满意度</w:t>
            </w:r>
          </w:p>
        </w:tc>
        <w:tc>
          <w:tcPr>
            <w:tcW w:w="1134" w:type="dxa"/>
            <w:noWrap w:val="0"/>
            <w:vAlign w:val="bottom"/>
          </w:tcPr>
          <w:p w14:paraId="1D37DF0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5CF3653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4ABBACE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76C3CD4A">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5658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5ABA876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9</w:t>
            </w:r>
          </w:p>
        </w:tc>
        <w:tc>
          <w:tcPr>
            <w:tcW w:w="1578" w:type="dxa"/>
            <w:vMerge w:val="continue"/>
            <w:noWrap w:val="0"/>
            <w:vAlign w:val="bottom"/>
          </w:tcPr>
          <w:p w14:paraId="61191AB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503F606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领导满意度</w:t>
            </w:r>
          </w:p>
        </w:tc>
        <w:tc>
          <w:tcPr>
            <w:tcW w:w="1134" w:type="dxa"/>
            <w:noWrap w:val="0"/>
            <w:vAlign w:val="bottom"/>
          </w:tcPr>
          <w:p w14:paraId="46DECE4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517FDEB6">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12150D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646E0D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3FFB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34" w:type="dxa"/>
            <w:gridSpan w:val="4"/>
            <w:noWrap w:val="0"/>
            <w:vAlign w:val="bottom"/>
          </w:tcPr>
          <w:p w14:paraId="0B5CA292">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考评分数：</w:t>
            </w:r>
          </w:p>
        </w:tc>
        <w:tc>
          <w:tcPr>
            <w:tcW w:w="1134" w:type="dxa"/>
            <w:noWrap w:val="0"/>
            <w:vAlign w:val="bottom"/>
          </w:tcPr>
          <w:p w14:paraId="6CE008F8">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B3315E8">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225D2F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bl>
    <w:p w14:paraId="708DBAD4">
      <w:pPr>
        <w:numPr>
          <w:ilvl w:val="-1"/>
          <w:numId w:val="0"/>
        </w:numPr>
        <w:autoSpaceDE/>
        <w:autoSpaceDN/>
        <w:spacing w:line="500" w:lineRule="exact"/>
        <w:ind w:firstLine="0"/>
        <w:jc w:val="both"/>
        <w:rPr>
          <w:rFonts w:hint="eastAsia" w:ascii="仿宋" w:hAnsi="仿宋" w:eastAsia="仿宋" w:cs="仿宋"/>
          <w:b/>
          <w:color w:val="auto"/>
          <w:sz w:val="25"/>
          <w:szCs w:val="25"/>
          <w:highlight w:val="none"/>
        </w:rPr>
      </w:pPr>
    </w:p>
    <w:p w14:paraId="773C29E4">
      <w:pPr>
        <w:autoSpaceDE/>
        <w:autoSpaceDN/>
        <w:spacing w:line="500" w:lineRule="exact"/>
        <w:ind w:firstLine="502" w:firstLineChars="200"/>
        <w:jc w:val="both"/>
        <w:rPr>
          <w:rFonts w:hint="eastAsia" w:ascii="仿宋" w:hAnsi="仿宋" w:eastAsia="仿宋" w:cs="仿宋"/>
          <w:b/>
          <w:color w:val="auto"/>
          <w:sz w:val="25"/>
          <w:szCs w:val="25"/>
          <w:highlight w:val="none"/>
        </w:rPr>
      </w:pPr>
      <w:r>
        <w:rPr>
          <w:rFonts w:hint="eastAsia" w:ascii="仿宋" w:hAnsi="仿宋" w:eastAsia="仿宋" w:cs="仿宋"/>
          <w:b/>
          <w:color w:val="auto"/>
          <w:sz w:val="25"/>
          <w:szCs w:val="25"/>
          <w:highlight w:val="none"/>
        </w:rPr>
        <w:t>（二）考评标准</w:t>
      </w:r>
    </w:p>
    <w:p w14:paraId="5D53D6B4">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考评采用百分制，其中:</w:t>
      </w:r>
    </w:p>
    <w:p w14:paraId="28D0379F">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90分(含)以上为优秀，支付当期合同价款；</w:t>
      </w:r>
    </w:p>
    <w:p w14:paraId="71240B10">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90分以下至80分(含)为合格，支付当期合同价款；</w:t>
      </w:r>
    </w:p>
    <w:p w14:paraId="5E8E935F">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80分以下为不合格，对乙方进行约谈，不支付当期合同价款。</w:t>
      </w:r>
    </w:p>
    <w:p w14:paraId="0BA50456">
      <w:pPr>
        <w:autoSpaceDE/>
        <w:autoSpaceDN/>
        <w:spacing w:line="500" w:lineRule="exact"/>
        <w:ind w:firstLine="502" w:firstLineChars="200"/>
        <w:jc w:val="both"/>
        <w:rPr>
          <w:rFonts w:hint="eastAsia" w:ascii="仿宋" w:hAnsi="仿宋" w:eastAsia="仿宋" w:cs="仿宋"/>
          <w:b/>
          <w:color w:val="auto"/>
          <w:sz w:val="25"/>
          <w:szCs w:val="25"/>
          <w:highlight w:val="none"/>
        </w:rPr>
      </w:pPr>
      <w:r>
        <w:rPr>
          <w:rFonts w:hint="eastAsia" w:cs="仿宋"/>
          <w:b/>
          <w:color w:val="auto"/>
          <w:sz w:val="25"/>
          <w:szCs w:val="25"/>
          <w:highlight w:val="none"/>
          <w:lang w:eastAsia="zh-CN"/>
        </w:rPr>
        <w:t>（</w:t>
      </w:r>
      <w:r>
        <w:rPr>
          <w:rFonts w:hint="eastAsia" w:ascii="仿宋" w:hAnsi="仿宋" w:eastAsia="仿宋" w:cs="仿宋"/>
          <w:b/>
          <w:color w:val="auto"/>
          <w:sz w:val="25"/>
          <w:szCs w:val="25"/>
          <w:highlight w:val="none"/>
        </w:rPr>
        <w:t>三</w:t>
      </w:r>
      <w:r>
        <w:rPr>
          <w:rFonts w:hint="eastAsia" w:cs="仿宋"/>
          <w:b/>
          <w:color w:val="auto"/>
          <w:sz w:val="25"/>
          <w:szCs w:val="25"/>
          <w:highlight w:val="none"/>
          <w:lang w:eastAsia="zh-CN"/>
        </w:rPr>
        <w:t>）</w:t>
      </w:r>
      <w:r>
        <w:rPr>
          <w:rFonts w:hint="eastAsia" w:ascii="仿宋" w:hAnsi="仿宋" w:eastAsia="仿宋" w:cs="仿宋"/>
          <w:b/>
          <w:color w:val="auto"/>
          <w:sz w:val="25"/>
          <w:szCs w:val="25"/>
          <w:highlight w:val="none"/>
        </w:rPr>
        <w:t>项目验收</w:t>
      </w:r>
    </w:p>
    <w:p w14:paraId="53E9F8F6">
      <w:pPr>
        <w:autoSpaceDE/>
        <w:autoSpaceDN/>
        <w:spacing w:line="500" w:lineRule="exact"/>
        <w:ind w:firstLine="0"/>
        <w:jc w:val="left"/>
        <w:rPr>
          <w:rFonts w:hint="eastAsia" w:ascii="仿宋" w:hAnsi="仿宋" w:eastAsia="仿宋" w:cs="仿宋"/>
          <w:b w:val="0"/>
          <w:bCs/>
          <w:color w:val="auto"/>
          <w:sz w:val="25"/>
          <w:szCs w:val="25"/>
          <w:highlight w:val="none"/>
        </w:rPr>
      </w:pPr>
      <w:r>
        <w:rPr>
          <w:rFonts w:hint="eastAsia" w:cs="仿宋"/>
          <w:b/>
          <w:color w:val="auto"/>
          <w:sz w:val="25"/>
          <w:szCs w:val="25"/>
          <w:highlight w:val="none"/>
          <w:lang w:val="en-US" w:eastAsia="zh-CN"/>
        </w:rPr>
        <w:t xml:space="preserve">    </w:t>
      </w:r>
      <w:r>
        <w:rPr>
          <w:rFonts w:hint="eastAsia" w:ascii="仿宋" w:hAnsi="仿宋" w:eastAsia="仿宋" w:cs="仿宋"/>
          <w:b w:val="0"/>
          <w:bCs/>
          <w:color w:val="auto"/>
          <w:sz w:val="25"/>
          <w:szCs w:val="25"/>
          <w:highlight w:val="none"/>
        </w:rPr>
        <w:t>对乙方员工的考评结果视为乙方服务质量的验收依据，甲方依据本项目管理要求和乙方投标文件承诺，对乙方提供的服务质量进行考核打分。考核方式为，省路政执法总队第</w:t>
      </w:r>
      <w:r>
        <w:rPr>
          <w:rFonts w:hint="eastAsia" w:cs="仿宋"/>
          <w:b w:val="0"/>
          <w:bCs/>
          <w:color w:val="auto"/>
          <w:sz w:val="25"/>
          <w:szCs w:val="25"/>
          <w:highlight w:val="none"/>
          <w:lang w:eastAsia="zh-CN"/>
        </w:rPr>
        <w:t>五</w:t>
      </w:r>
      <w:r>
        <w:rPr>
          <w:rFonts w:hint="eastAsia" w:ascii="仿宋" w:hAnsi="仿宋" w:eastAsia="仿宋" w:cs="仿宋"/>
          <w:b w:val="0"/>
          <w:bCs/>
          <w:color w:val="auto"/>
          <w:sz w:val="25"/>
          <w:szCs w:val="25"/>
          <w:highlight w:val="none"/>
        </w:rPr>
        <w:t>支队2025年政府采购实施小组进行评价打分，与乙方员工日常考评相结合，确保评价客观准确。具体打分见考评标准，总分100分，乙方得分90分(含)以上的为优秀，乙方得分在 80(含)-90(不含)分之间的，要严格服务标准，提高服务质量；乙方得分在80(不含)以下的，视为不合格，乙方考评为不合格的，甲方有权不支付乙方当期任何费用，并终止合同。同时，甲方有权要求乙方支付当期费用的5%作为违约金，违约金不足以弥补甲方损失的，乙方应当予以补足。</w:t>
      </w:r>
    </w:p>
    <w:p w14:paraId="7DAF8824">
      <w:pPr>
        <w:spacing w:line="240" w:lineRule="auto"/>
        <w:ind w:firstLine="0"/>
        <w:jc w:val="center"/>
        <w:rPr>
          <w:rFonts w:hint="eastAsia" w:ascii="仿宋" w:hAnsi="仿宋" w:eastAsia="仿宋" w:cs="仿宋"/>
          <w:b/>
          <w:sz w:val="25"/>
          <w:szCs w:val="25"/>
          <w:highlight w:val="none"/>
        </w:rPr>
      </w:pPr>
    </w:p>
    <w:p w14:paraId="6049F1BF">
      <w:pPr>
        <w:spacing w:line="240" w:lineRule="auto"/>
        <w:ind w:firstLine="0"/>
        <w:jc w:val="center"/>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五</w:t>
      </w:r>
      <w:r>
        <w:rPr>
          <w:rFonts w:hint="eastAsia" w:ascii="仿宋" w:hAnsi="仿宋" w:eastAsia="仿宋" w:cs="仿宋"/>
          <w:b/>
          <w:sz w:val="25"/>
          <w:szCs w:val="25"/>
          <w:highlight w:val="none"/>
        </w:rPr>
        <w:t>章外包费标准和结算方式</w:t>
      </w:r>
    </w:p>
    <w:p w14:paraId="6BE9AE34">
      <w:pPr>
        <w:tabs>
          <w:tab w:val="left" w:pos="900"/>
        </w:tabs>
        <w:adjustRightInd w:val="0"/>
        <w:snapToGrid w:val="0"/>
        <w:spacing w:line="240" w:lineRule="auto"/>
        <w:ind w:firstLine="0" w:firstLineChars="0"/>
        <w:rPr>
          <w:rFonts w:hint="eastAsia" w:ascii="仿宋" w:hAnsi="仿宋" w:eastAsia="仿宋" w:cs="仿宋"/>
          <w:b/>
          <w:sz w:val="25"/>
          <w:szCs w:val="25"/>
          <w:highlight w:val="none"/>
        </w:rPr>
      </w:pPr>
    </w:p>
    <w:p w14:paraId="3274198D">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第九条  </w:t>
      </w:r>
      <w:r>
        <w:rPr>
          <w:rFonts w:hint="eastAsia" w:ascii="仿宋" w:hAnsi="仿宋" w:eastAsia="仿宋" w:cs="仿宋"/>
          <w:sz w:val="25"/>
          <w:szCs w:val="25"/>
          <w:highlight w:val="none"/>
        </w:rPr>
        <w:t>外包费用</w:t>
      </w:r>
      <w:r>
        <w:rPr>
          <w:rFonts w:hint="eastAsia" w:cs="仿宋"/>
          <w:sz w:val="25"/>
          <w:szCs w:val="25"/>
          <w:highlight w:val="none"/>
          <w:lang w:val="en-US" w:eastAsia="zh-CN"/>
        </w:rPr>
        <w:t>双方每月</w:t>
      </w:r>
      <w:r>
        <w:rPr>
          <w:rFonts w:hint="eastAsia" w:ascii="仿宋" w:hAnsi="仿宋" w:eastAsia="仿宋" w:cs="仿宋"/>
          <w:sz w:val="25"/>
          <w:szCs w:val="25"/>
          <w:highlight w:val="none"/>
        </w:rPr>
        <w:t>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w:t>
      </w:r>
    </w:p>
    <w:p w14:paraId="5DA6E9AC">
      <w:pPr>
        <w:tabs>
          <w:tab w:val="left" w:pos="900"/>
        </w:tabs>
        <w:adjustRightInd w:val="0"/>
        <w:snapToGrid w:val="0"/>
        <w:spacing w:before="30" w:after="3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外包服务费用收取标准：</w:t>
      </w:r>
      <w:r>
        <w:rPr>
          <w:rFonts w:hint="eastAsia" w:ascii="仿宋" w:hAnsi="仿宋" w:eastAsia="仿宋" w:cs="仿宋"/>
          <w:sz w:val="25"/>
          <w:szCs w:val="25"/>
          <w:highlight w:val="none"/>
          <w:u w:val="single"/>
        </w:rPr>
        <w:t xml:space="preserve"> </w:t>
      </w:r>
      <w:r>
        <w:rPr>
          <w:rFonts w:hint="eastAsia" w:cs="仿宋"/>
          <w:sz w:val="25"/>
          <w:szCs w:val="25"/>
          <w:highlight w:val="none"/>
          <w:u w:val="single"/>
          <w:lang w:val="en-US" w:eastAsia="zh-CN"/>
        </w:rPr>
        <w:t xml:space="preserve">   </w:t>
      </w:r>
      <w:r>
        <w:rPr>
          <w:rFonts w:hint="eastAsia" w:ascii="仿宋" w:hAnsi="仿宋" w:eastAsia="仿宋" w:cs="仿宋"/>
          <w:sz w:val="25"/>
          <w:szCs w:val="25"/>
          <w:highlight w:val="none"/>
          <w:u w:val="single"/>
          <w:lang w:val="en-US" w:eastAsia="zh-CN"/>
        </w:rPr>
        <w:t xml:space="preserve"> </w:t>
      </w:r>
      <w:r>
        <w:rPr>
          <w:rFonts w:hint="eastAsia" w:ascii="仿宋" w:hAnsi="仿宋" w:eastAsia="仿宋" w:cs="仿宋"/>
          <w:sz w:val="25"/>
          <w:szCs w:val="25"/>
          <w:highlight w:val="none"/>
        </w:rPr>
        <w:t>元/月</w:t>
      </w:r>
      <w:r>
        <w:rPr>
          <w:rFonts w:hint="eastAsia" w:cs="仿宋"/>
          <w:sz w:val="25"/>
          <w:szCs w:val="25"/>
          <w:highlight w:val="none"/>
          <w:lang w:eastAsia="zh-CN"/>
        </w:rPr>
        <w:t>。</w:t>
      </w:r>
    </w:p>
    <w:p w14:paraId="37223700">
      <w:pPr>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 xml:space="preserve">  </w:t>
      </w:r>
    </w:p>
    <w:p w14:paraId="4B91F6B1">
      <w:pPr>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 xml:space="preserve"> 第</w:t>
      </w:r>
      <w:r>
        <w:rPr>
          <w:rFonts w:hint="eastAsia" w:cs="仿宋"/>
          <w:b/>
          <w:sz w:val="25"/>
          <w:szCs w:val="25"/>
          <w:highlight w:val="none"/>
          <w:lang w:val="en-US" w:eastAsia="zh-CN"/>
        </w:rPr>
        <w:t>六</w:t>
      </w:r>
      <w:r>
        <w:rPr>
          <w:rFonts w:hint="eastAsia" w:ascii="仿宋" w:hAnsi="仿宋" w:eastAsia="仿宋" w:cs="仿宋"/>
          <w:b/>
          <w:sz w:val="25"/>
          <w:szCs w:val="25"/>
          <w:highlight w:val="none"/>
        </w:rPr>
        <w:t>章</w:t>
      </w:r>
      <w:r>
        <w:rPr>
          <w:rFonts w:hint="eastAsia" w:ascii="仿宋" w:hAnsi="仿宋" w:eastAsia="仿宋" w:cs="仿宋"/>
          <w:b/>
          <w:sz w:val="25"/>
          <w:szCs w:val="25"/>
          <w:highlight w:val="none"/>
          <w:lang w:val="en-US" w:eastAsia="zh-CN"/>
        </w:rPr>
        <w:t xml:space="preserve"> </w:t>
      </w:r>
      <w:r>
        <w:rPr>
          <w:rFonts w:hint="eastAsia" w:ascii="仿宋" w:hAnsi="仿宋" w:eastAsia="仿宋" w:cs="仿宋"/>
          <w:b/>
          <w:sz w:val="25"/>
          <w:szCs w:val="25"/>
          <w:highlight w:val="none"/>
        </w:rPr>
        <w:t>权利和义务</w:t>
      </w:r>
    </w:p>
    <w:p w14:paraId="5206C862">
      <w:pPr>
        <w:spacing w:before="120" w:line="500" w:lineRule="exact"/>
        <w:ind w:firstLine="502" w:firstLineChars="200"/>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 xml:space="preserve">第十条 </w:t>
      </w:r>
      <w:r>
        <w:rPr>
          <w:rFonts w:hint="eastAsia" w:ascii="仿宋" w:hAnsi="仿宋" w:eastAsia="仿宋" w:cs="仿宋"/>
          <w:kern w:val="0"/>
          <w:sz w:val="25"/>
          <w:szCs w:val="25"/>
          <w:highlight w:val="none"/>
        </w:rPr>
        <w:t>甲方的权利：</w:t>
      </w:r>
    </w:p>
    <w:p w14:paraId="25EFF0F7">
      <w:pPr>
        <w:spacing w:before="12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（一）如果乙方未能满足甲方在本协议项下的需要，或者独立第三方提出的条件优于乙方提出的条件，甲方可以从独立第三方获得该服务。</w:t>
      </w:r>
    </w:p>
    <w:p w14:paraId="582B6A49">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kern w:val="2"/>
          <w:sz w:val="25"/>
          <w:szCs w:val="25"/>
          <w:highlight w:val="none"/>
        </w:rPr>
      </w:pPr>
      <w:r>
        <w:rPr>
          <w:rFonts w:hint="eastAsia" w:ascii="仿宋" w:hAnsi="仿宋" w:eastAsia="仿宋" w:cs="仿宋"/>
          <w:kern w:val="2"/>
          <w:sz w:val="25"/>
          <w:szCs w:val="25"/>
          <w:highlight w:val="none"/>
        </w:rPr>
        <w:t>（二）甲方有权根据服务外包项目的工作需要制订相应的服务规范、考评办法，并及时以书面形式通知乙方执行，服务规范、考评办法的解释权在甲方。甲方根据相关服务的质量考核指标要求，按月对乙方</w:t>
      </w:r>
      <w:r>
        <w:rPr>
          <w:rFonts w:hint="eastAsia" w:cs="仿宋"/>
          <w:kern w:val="2"/>
          <w:sz w:val="25"/>
          <w:szCs w:val="25"/>
          <w:highlight w:val="none"/>
          <w:lang w:val="en-US" w:eastAsia="zh-CN"/>
        </w:rPr>
        <w:t>提供的劳务服务成果</w:t>
      </w:r>
      <w:r>
        <w:rPr>
          <w:rFonts w:hint="eastAsia" w:ascii="仿宋" w:hAnsi="仿宋" w:eastAsia="仿宋" w:cs="仿宋"/>
          <w:kern w:val="2"/>
          <w:sz w:val="25"/>
          <w:szCs w:val="25"/>
          <w:highlight w:val="none"/>
        </w:rPr>
        <w:t>质量进行考核。</w:t>
      </w:r>
    </w:p>
    <w:p w14:paraId="024A4374">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kern w:val="2"/>
          <w:sz w:val="25"/>
          <w:szCs w:val="25"/>
          <w:highlight w:val="none"/>
        </w:rPr>
      </w:pPr>
      <w:r>
        <w:rPr>
          <w:rFonts w:hint="eastAsia" w:ascii="仿宋" w:hAnsi="仿宋" w:eastAsia="仿宋" w:cs="仿宋"/>
          <w:sz w:val="25"/>
          <w:szCs w:val="25"/>
          <w:highlight w:val="none"/>
        </w:rPr>
        <w:t>（三）</w:t>
      </w:r>
      <w:r>
        <w:rPr>
          <w:rFonts w:hint="eastAsia" w:ascii="仿宋" w:hAnsi="仿宋" w:eastAsia="仿宋" w:cs="仿宋"/>
          <w:kern w:val="2"/>
          <w:sz w:val="25"/>
          <w:szCs w:val="25"/>
          <w:highlight w:val="none"/>
        </w:rPr>
        <w:t>甲方有权要求乙方提供外包服务人员的有关资料，包括劳</w:t>
      </w:r>
      <w:r>
        <w:rPr>
          <w:rFonts w:hint="eastAsia" w:ascii="仿宋" w:hAnsi="仿宋" w:eastAsia="仿宋" w:cs="仿宋"/>
          <w:kern w:val="2"/>
          <w:sz w:val="25"/>
          <w:szCs w:val="25"/>
          <w:highlight w:val="none"/>
          <w:lang w:eastAsia="zh-CN"/>
        </w:rPr>
        <w:t>务</w:t>
      </w:r>
      <w:r>
        <w:rPr>
          <w:rFonts w:hint="eastAsia" w:ascii="仿宋" w:hAnsi="仿宋" w:eastAsia="仿宋" w:cs="仿宋"/>
          <w:kern w:val="2"/>
          <w:sz w:val="25"/>
          <w:szCs w:val="25"/>
          <w:highlight w:val="none"/>
        </w:rPr>
        <w:t>合同、身份证、学历证明等。</w:t>
      </w:r>
    </w:p>
    <w:p w14:paraId="6EA74F5C">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kern w:val="2"/>
          <w:sz w:val="25"/>
          <w:szCs w:val="25"/>
          <w:highlight w:val="none"/>
        </w:rPr>
      </w:pPr>
      <w:r>
        <w:rPr>
          <w:rFonts w:hint="eastAsia" w:ascii="仿宋" w:hAnsi="仿宋" w:eastAsia="仿宋" w:cs="仿宋"/>
          <w:kern w:val="2"/>
          <w:sz w:val="25"/>
          <w:szCs w:val="25"/>
          <w:highlight w:val="none"/>
        </w:rPr>
        <w:t>（五）在提供项目外包过程中产生的或主要利用甲方的物质条件或资料开发出的任何成果</w:t>
      </w:r>
      <w:r>
        <w:rPr>
          <w:rFonts w:hint="eastAsia" w:cs="仿宋"/>
          <w:kern w:val="2"/>
          <w:sz w:val="25"/>
          <w:szCs w:val="25"/>
          <w:highlight w:val="none"/>
          <w:lang w:val="en-US" w:eastAsia="zh-CN"/>
        </w:rPr>
        <w:t>及其知识产权</w:t>
      </w:r>
      <w:r>
        <w:rPr>
          <w:rFonts w:hint="eastAsia" w:ascii="仿宋" w:hAnsi="仿宋" w:eastAsia="仿宋" w:cs="仿宋"/>
          <w:kern w:val="2"/>
          <w:sz w:val="25"/>
          <w:szCs w:val="25"/>
          <w:highlight w:val="none"/>
        </w:rPr>
        <w:t>归甲方所有。</w:t>
      </w:r>
    </w:p>
    <w:p w14:paraId="4748CB5C">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（六）</w:t>
      </w:r>
      <w:r>
        <w:rPr>
          <w:rFonts w:hint="eastAsia" w:ascii="仿宋" w:hAnsi="仿宋" w:eastAsia="仿宋" w:cs="仿宋"/>
          <w:kern w:val="0"/>
          <w:sz w:val="25"/>
          <w:szCs w:val="25"/>
          <w:highlight w:val="none"/>
        </w:rPr>
        <w:t>甲方有权对乙方提供的服务质量进行监督检查，</w:t>
      </w:r>
      <w:r>
        <w:rPr>
          <w:rFonts w:hint="eastAsia" w:ascii="仿宋" w:hAnsi="仿宋" w:eastAsia="仿宋" w:cs="仿宋"/>
          <w:sz w:val="25"/>
          <w:szCs w:val="25"/>
          <w:highlight w:val="none"/>
        </w:rPr>
        <w:t>认为乙方有任何违反或可能违反本合同的行为，甲方有权提出书面意见要求乙方限期整改。乙方应在收到甲方的书面意见后5个工作日内，以书面形式将其整改的结果或整改措施回复甲方。</w:t>
      </w:r>
    </w:p>
    <w:p w14:paraId="48FBA27B">
      <w:pPr>
        <w:pStyle w:val="13"/>
        <w:tabs>
          <w:tab w:val="left" w:pos="0"/>
          <w:tab w:val="left" w:pos="405"/>
          <w:tab w:val="left" w:pos="567"/>
          <w:tab w:val="left" w:pos="601"/>
          <w:tab w:val="left" w:pos="1980"/>
        </w:tabs>
        <w:spacing w:line="500" w:lineRule="exact"/>
        <w:ind w:firstLine="627" w:firstLineChars="250"/>
        <w:rPr>
          <w:rFonts w:hint="eastAsia" w:ascii="仿宋" w:hAnsi="仿宋" w:eastAsia="仿宋" w:cs="仿宋"/>
          <w:sz w:val="25"/>
          <w:szCs w:val="25"/>
          <w:highlight w:val="none"/>
        </w:rPr>
      </w:pPr>
      <w:r>
        <w:rPr>
          <w:rFonts w:hint="eastAsia" w:ascii="仿宋" w:hAnsi="仿宋" w:eastAsia="仿宋" w:cs="仿宋"/>
          <w:b/>
          <w:sz w:val="25"/>
          <w:szCs w:val="25"/>
          <w:highlight w:val="none"/>
        </w:rPr>
        <w:t>第十一条</w:t>
      </w:r>
      <w:r>
        <w:rPr>
          <w:rFonts w:hint="eastAsia" w:ascii="仿宋" w:hAnsi="仿宋" w:eastAsia="仿宋" w:cs="仿宋"/>
          <w:sz w:val="25"/>
          <w:szCs w:val="25"/>
          <w:highlight w:val="none"/>
        </w:rPr>
        <w:t xml:space="preserve">  甲方的义务</w:t>
      </w:r>
    </w:p>
    <w:p w14:paraId="34040F96">
      <w:pPr>
        <w:spacing w:before="12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（一） 在外包服务实施过程中，甲方应为乙方提供必要的技术支持与工作指导，配合乙方履行职责。</w:t>
      </w:r>
    </w:p>
    <w:p w14:paraId="1C73579E">
      <w:pPr>
        <w:spacing w:before="30" w:after="3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二）甲方应建立、健全劳动安全卫生制度，严格执行国家劳动安全卫生规程和标准，对乙方外包服务人员进行劳动安全卫生教育，防止劳动事故，减少职业危害。同时为乙方外包服务人员提供符合国家规定的工作条件、劳动安全卫生条件和必要的劳动防护用品，对服务岗位的设施、设备定期进行维护和安全检查，保证设施设备的安全运转。</w:t>
      </w:r>
    </w:p>
    <w:p w14:paraId="02DD9262">
      <w:pPr>
        <w:spacing w:before="30" w:after="30" w:line="500" w:lineRule="exact"/>
        <w:ind w:firstLine="500" w:firstLineChars="200"/>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（三）</w:t>
      </w:r>
      <w:r>
        <w:rPr>
          <w:rFonts w:hint="eastAsia" w:ascii="仿宋" w:hAnsi="仿宋" w:eastAsia="仿宋" w:cs="仿宋"/>
          <w:sz w:val="25"/>
          <w:szCs w:val="25"/>
          <w:highlight w:val="none"/>
        </w:rPr>
        <w:t>甲方如有需要为乙方服务外包人员统一制作证件和工服的，相关费用由甲方承担。</w:t>
      </w:r>
    </w:p>
    <w:p w14:paraId="2BA9BBD0">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（四）甲方不得将本合同的内容向甲乙双方以外的、与签订和履行本合同无关的任何第三方透露，不得泄露乙方的商业秘密（包括本合同及其附件和合同签订前的各项方案）。</w:t>
      </w:r>
    </w:p>
    <w:p w14:paraId="2828E2EE">
      <w:pPr>
        <w:pStyle w:val="13"/>
        <w:tabs>
          <w:tab w:val="left" w:pos="0"/>
          <w:tab w:val="left" w:pos="405"/>
          <w:tab w:val="left" w:pos="567"/>
          <w:tab w:val="left" w:pos="601"/>
          <w:tab w:val="left" w:pos="1980"/>
        </w:tabs>
        <w:spacing w:line="500" w:lineRule="exact"/>
        <w:ind w:firstLine="502" w:firstLineChars="200"/>
        <w:rPr>
          <w:rFonts w:hint="eastAsia" w:ascii="仿宋" w:hAnsi="仿宋" w:eastAsia="仿宋" w:cs="仿宋"/>
          <w:b/>
          <w:sz w:val="25"/>
          <w:szCs w:val="25"/>
          <w:highlight w:val="none"/>
        </w:rPr>
      </w:pPr>
      <w:r>
        <w:rPr>
          <w:rFonts w:hint="eastAsia" w:ascii="仿宋" w:hAnsi="仿宋" w:eastAsia="仿宋" w:cs="仿宋"/>
          <w:b/>
          <w:sz w:val="25"/>
          <w:szCs w:val="25"/>
          <w:highlight w:val="none"/>
        </w:rPr>
        <w:t xml:space="preserve">第十二条 </w:t>
      </w:r>
      <w:r>
        <w:rPr>
          <w:rFonts w:hint="eastAsia" w:ascii="仿宋" w:hAnsi="仿宋" w:eastAsia="仿宋" w:cs="仿宋"/>
          <w:sz w:val="25"/>
          <w:szCs w:val="25"/>
          <w:highlight w:val="none"/>
        </w:rPr>
        <w:t>乙方的权利</w:t>
      </w:r>
    </w:p>
    <w:p w14:paraId="5820676D">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根据法律、法规和本合同有关规定，乙方有权要求甲方依据本合同规定保障乙方派出外包服务人员的合法权益，若发现甲方有侵害乙方外包服务人员合法权益的行为，乙方可以提出书面意见和要求。甲方应在收到乙方的书面意见后10个工作日内以书面形式回复乙方。</w:t>
      </w:r>
    </w:p>
    <w:p w14:paraId="2635EAAC">
      <w:pPr>
        <w:spacing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第十三条</w:t>
      </w:r>
      <w:r>
        <w:rPr>
          <w:rFonts w:hint="eastAsia" w:ascii="仿宋" w:hAnsi="仿宋" w:eastAsia="仿宋" w:cs="仿宋"/>
          <w:sz w:val="25"/>
          <w:szCs w:val="25"/>
          <w:highlight w:val="none"/>
        </w:rPr>
        <w:t xml:space="preserve"> 乙方的义务</w:t>
      </w:r>
    </w:p>
    <w:p w14:paraId="03A8C46B">
      <w:pPr>
        <w:pStyle w:val="13"/>
        <w:tabs>
          <w:tab w:val="left" w:pos="0"/>
          <w:tab w:val="left" w:pos="405"/>
          <w:tab w:val="left" w:pos="567"/>
          <w:tab w:val="left" w:pos="601"/>
          <w:tab w:val="left" w:pos="1980"/>
        </w:tabs>
        <w:spacing w:line="500" w:lineRule="exact"/>
        <w:ind w:firstLine="375" w:firstLineChars="150"/>
        <w:rPr>
          <w:rFonts w:hint="eastAsia" w:ascii="仿宋" w:hAnsi="仿宋" w:eastAsia="仿宋" w:cs="仿宋"/>
          <w:sz w:val="25"/>
          <w:szCs w:val="25"/>
          <w:highlight w:val="none"/>
        </w:rPr>
      </w:pPr>
      <w:r>
        <w:rPr>
          <w:rFonts w:hint="eastAsia" w:ascii="仿宋" w:hAnsi="仿宋" w:eastAsia="仿宋" w:cs="仿宋"/>
          <w:sz w:val="25"/>
          <w:szCs w:val="25"/>
          <w:highlight w:val="none"/>
        </w:rPr>
        <w:t>（一）乙方完成外包服务项目工作，必须严格遵守国家有关法律法规和行业规章制度及甲方有关规定，规范履行职责。</w:t>
      </w:r>
    </w:p>
    <w:p w14:paraId="7BE19323">
      <w:pPr>
        <w:tabs>
          <w:tab w:val="left" w:pos="5940"/>
        </w:tabs>
        <w:spacing w:line="500" w:lineRule="exact"/>
        <w:ind w:left="60" w:leftChars="25" w:firstLine="375" w:firstLineChars="150"/>
        <w:jc w:val="left"/>
        <w:rPr>
          <w:rFonts w:hint="eastAsia" w:ascii="仿宋" w:hAnsi="仿宋" w:eastAsia="仿宋" w:cs="仿宋"/>
          <w:kern w:val="0"/>
          <w:sz w:val="25"/>
          <w:szCs w:val="25"/>
          <w:highlight w:val="none"/>
        </w:rPr>
      </w:pPr>
      <w:r>
        <w:rPr>
          <w:rFonts w:hint="eastAsia" w:ascii="仿宋" w:hAnsi="仿宋" w:eastAsia="仿宋" w:cs="仿宋"/>
          <w:sz w:val="25"/>
          <w:szCs w:val="25"/>
          <w:highlight w:val="none"/>
        </w:rPr>
        <w:t>（二）乙方应按照甲方服务需求和标准提供外包服务，外包服务人员必须通过乙方的岗前公共职业培训，且具备甲方工作岗位所需要的技能素质和体能素质。</w:t>
      </w:r>
    </w:p>
    <w:p w14:paraId="55309E05">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lang w:eastAsia="zh-CN"/>
        </w:rPr>
      </w:pPr>
      <w:r>
        <w:rPr>
          <w:rFonts w:hint="eastAsia" w:ascii="仿宋" w:hAnsi="仿宋" w:eastAsia="仿宋" w:cs="仿宋"/>
          <w:sz w:val="25"/>
          <w:szCs w:val="25"/>
          <w:highlight w:val="none"/>
        </w:rPr>
        <w:t>（三）乙方负责为乙方外包服务人员依法办理劳动用工手续，在外包服务人员的聘用、辞退、工资福利、奖惩升降、劳动保护等事项上依法保证乙方外包服务人员的合法权益，保持外包服务人员的稳定性。</w:t>
      </w:r>
      <w:r>
        <w:rPr>
          <w:rFonts w:hint="eastAsia" w:cs="仿宋"/>
          <w:sz w:val="25"/>
          <w:szCs w:val="25"/>
          <w:highlight w:val="none"/>
          <w:lang w:val="en-US" w:eastAsia="zh-CN"/>
        </w:rPr>
        <w:t>乙方应当确保</w:t>
      </w:r>
      <w:r>
        <w:rPr>
          <w:rFonts w:hint="eastAsia" w:ascii="仿宋" w:hAnsi="仿宋" w:eastAsia="仿宋" w:cs="仿宋"/>
          <w:sz w:val="25"/>
          <w:szCs w:val="25"/>
          <w:highlight w:val="none"/>
        </w:rPr>
        <w:t>员工应发工资达到</w:t>
      </w:r>
      <w:r>
        <w:rPr>
          <w:rFonts w:hint="eastAsia" w:cs="仿宋"/>
          <w:sz w:val="25"/>
          <w:szCs w:val="25"/>
          <w:highlight w:val="none"/>
          <w:lang w:val="en-US" w:eastAsia="zh-CN"/>
        </w:rPr>
        <w:t>当年</w:t>
      </w:r>
      <w:r>
        <w:rPr>
          <w:rFonts w:hint="eastAsia" w:ascii="仿宋" w:hAnsi="仿宋" w:eastAsia="仿宋" w:cs="仿宋"/>
          <w:sz w:val="25"/>
          <w:szCs w:val="25"/>
          <w:highlight w:val="none"/>
        </w:rPr>
        <w:t>社会平均工资的最低标准</w:t>
      </w:r>
      <w:r>
        <w:rPr>
          <w:rFonts w:hint="eastAsia" w:cs="仿宋"/>
          <w:sz w:val="25"/>
          <w:szCs w:val="25"/>
          <w:highlight w:val="none"/>
          <w:lang w:eastAsia="zh-CN"/>
        </w:rPr>
        <w:t>，</w:t>
      </w:r>
      <w:r>
        <w:rPr>
          <w:rFonts w:hint="eastAsia" w:cs="仿宋"/>
          <w:sz w:val="25"/>
          <w:szCs w:val="25"/>
          <w:highlight w:val="none"/>
          <w:lang w:val="en-US" w:eastAsia="zh-CN"/>
        </w:rPr>
        <w:t>按时为员工缴纳</w:t>
      </w:r>
      <w:r>
        <w:rPr>
          <w:rFonts w:hint="eastAsia" w:ascii="仿宋" w:hAnsi="仿宋" w:eastAsia="仿宋" w:cs="仿宋"/>
          <w:sz w:val="25"/>
          <w:szCs w:val="25"/>
          <w:highlight w:val="none"/>
        </w:rPr>
        <w:t>社保</w:t>
      </w:r>
      <w:r>
        <w:rPr>
          <w:rFonts w:hint="eastAsia" w:cs="仿宋"/>
          <w:sz w:val="25"/>
          <w:szCs w:val="25"/>
          <w:highlight w:val="none"/>
          <w:lang w:eastAsia="zh-CN"/>
        </w:rPr>
        <w:t>，</w:t>
      </w:r>
      <w:r>
        <w:rPr>
          <w:rFonts w:hint="eastAsia" w:ascii="仿宋" w:hAnsi="仿宋" w:eastAsia="仿宋" w:cs="仿宋"/>
          <w:sz w:val="25"/>
          <w:szCs w:val="25"/>
          <w:highlight w:val="none"/>
        </w:rPr>
        <w:t>社保基数随人社部门公布的基数变动而</w:t>
      </w:r>
      <w:r>
        <w:rPr>
          <w:rFonts w:hint="eastAsia" w:cs="仿宋"/>
          <w:sz w:val="25"/>
          <w:szCs w:val="25"/>
          <w:highlight w:val="none"/>
          <w:lang w:val="en-US" w:eastAsia="zh-CN"/>
        </w:rPr>
        <w:t>定</w:t>
      </w:r>
      <w:r>
        <w:rPr>
          <w:rFonts w:hint="eastAsia" w:cs="仿宋"/>
          <w:sz w:val="25"/>
          <w:szCs w:val="25"/>
          <w:highlight w:val="none"/>
          <w:lang w:eastAsia="zh-CN"/>
        </w:rPr>
        <w:t>。</w:t>
      </w:r>
    </w:p>
    <w:p w14:paraId="043DBA72">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四）乙方与外包服务人员发生劳动纠纷时，乙方应直接与外包服务人员交涉解决并自行承担相关责任，处理好纠纷，以免影响甲方的外包服务工作。如乙方未及时处理，导致甲方被裁决、决定承担用人责任的，甲方有权向乙方全额追偿。乙方应事先做好风险规避，如发生纠纷，乙方应积极配合甲方去做相关工作.</w:t>
      </w:r>
    </w:p>
    <w:p w14:paraId="3E09D65C">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b w:val="0"/>
          <w:bCs w:val="0"/>
          <w:color w:val="000000"/>
          <w:kern w:val="2"/>
          <w:sz w:val="25"/>
          <w:szCs w:val="25"/>
          <w:highlight w:val="none"/>
        </w:rPr>
      </w:pPr>
      <w:r>
        <w:rPr>
          <w:rFonts w:hint="eastAsia" w:ascii="仿宋" w:hAnsi="仿宋" w:eastAsia="仿宋" w:cs="仿宋"/>
          <w:b w:val="0"/>
          <w:bCs w:val="0"/>
          <w:color w:val="000000"/>
          <w:kern w:val="2"/>
          <w:sz w:val="25"/>
          <w:szCs w:val="25"/>
          <w:highlight w:val="none"/>
        </w:rPr>
        <w:t>（五）外包服务人员因工发生伤亡事故，</w:t>
      </w:r>
      <w:r>
        <w:rPr>
          <w:rFonts w:hint="eastAsia" w:ascii="仿宋" w:hAnsi="仿宋" w:eastAsia="仿宋" w:cs="仿宋"/>
          <w:b w:val="0"/>
          <w:bCs w:val="0"/>
          <w:color w:val="000000"/>
          <w:kern w:val="2"/>
          <w:sz w:val="25"/>
          <w:szCs w:val="25"/>
          <w:highlight w:val="none"/>
          <w:lang w:eastAsia="zh-CN"/>
        </w:rPr>
        <w:t>甲方需第一时间联系乙方，</w:t>
      </w:r>
      <w:r>
        <w:rPr>
          <w:rFonts w:hint="eastAsia" w:ascii="仿宋" w:hAnsi="仿宋" w:eastAsia="仿宋" w:cs="仿宋"/>
          <w:b w:val="0"/>
          <w:bCs w:val="0"/>
          <w:color w:val="000000"/>
          <w:kern w:val="2"/>
          <w:sz w:val="25"/>
          <w:szCs w:val="25"/>
          <w:highlight w:val="none"/>
        </w:rPr>
        <w:t>由乙方按照《工伤保险条例》的相关规定进行妥善处理</w:t>
      </w:r>
      <w:r>
        <w:rPr>
          <w:rFonts w:hint="eastAsia" w:cs="仿宋"/>
          <w:b w:val="0"/>
          <w:bCs w:val="0"/>
          <w:color w:val="000000"/>
          <w:kern w:val="2"/>
          <w:sz w:val="25"/>
          <w:szCs w:val="25"/>
          <w:highlight w:val="none"/>
          <w:lang w:val="en-US" w:eastAsia="zh-CN"/>
        </w:rPr>
        <w:t>并</w:t>
      </w:r>
      <w:r>
        <w:rPr>
          <w:rFonts w:hint="eastAsia" w:cs="仿宋"/>
          <w:b w:val="0"/>
          <w:bCs w:val="0"/>
          <w:color w:val="000000"/>
          <w:kern w:val="2"/>
          <w:sz w:val="25"/>
          <w:szCs w:val="25"/>
          <w:highlight w:val="none"/>
          <w:lang w:eastAsia="zh-CN"/>
        </w:rPr>
        <w:t>承担用人单位</w:t>
      </w:r>
      <w:r>
        <w:rPr>
          <w:rFonts w:hint="eastAsia" w:cs="仿宋"/>
          <w:b w:val="0"/>
          <w:bCs w:val="0"/>
          <w:color w:val="000000"/>
          <w:kern w:val="2"/>
          <w:sz w:val="25"/>
          <w:szCs w:val="25"/>
          <w:highlight w:val="none"/>
          <w:lang w:val="en-US" w:eastAsia="zh-CN"/>
        </w:rPr>
        <w:t>责任</w:t>
      </w:r>
      <w:r>
        <w:rPr>
          <w:rFonts w:hint="eastAsia" w:ascii="仿宋" w:hAnsi="仿宋" w:eastAsia="仿宋" w:cs="仿宋"/>
          <w:b w:val="0"/>
          <w:bCs w:val="0"/>
          <w:color w:val="000000"/>
          <w:kern w:val="2"/>
          <w:sz w:val="25"/>
          <w:szCs w:val="25"/>
          <w:highlight w:val="none"/>
        </w:rPr>
        <w:t>。非因工发生的伤亡事故，乙方负责伤亡事故的处理，对发生的事故处理费用和对外包服务人员的经济补偿等</w:t>
      </w:r>
      <w:r>
        <w:rPr>
          <w:rFonts w:hint="eastAsia" w:ascii="仿宋" w:hAnsi="仿宋" w:eastAsia="仿宋" w:cs="仿宋"/>
          <w:b w:val="0"/>
          <w:bCs w:val="0"/>
          <w:color w:val="000000"/>
          <w:kern w:val="2"/>
          <w:sz w:val="25"/>
          <w:szCs w:val="25"/>
          <w:highlight w:val="none"/>
          <w:lang w:eastAsia="zh-CN"/>
        </w:rPr>
        <w:t>由乙</w:t>
      </w:r>
      <w:r>
        <w:rPr>
          <w:rFonts w:hint="eastAsia" w:ascii="仿宋" w:hAnsi="仿宋" w:eastAsia="仿宋" w:cs="仿宋"/>
          <w:b w:val="0"/>
          <w:bCs w:val="0"/>
          <w:color w:val="000000"/>
          <w:kern w:val="2"/>
          <w:sz w:val="25"/>
          <w:szCs w:val="25"/>
          <w:highlight w:val="none"/>
        </w:rPr>
        <w:t>方</w:t>
      </w:r>
      <w:r>
        <w:rPr>
          <w:rFonts w:hint="eastAsia" w:ascii="仿宋" w:hAnsi="仿宋" w:eastAsia="仿宋" w:cs="仿宋"/>
          <w:b w:val="0"/>
          <w:bCs w:val="0"/>
          <w:color w:val="000000"/>
          <w:kern w:val="2"/>
          <w:sz w:val="25"/>
          <w:szCs w:val="25"/>
          <w:highlight w:val="none"/>
          <w:lang w:eastAsia="zh-CN"/>
        </w:rPr>
        <w:t>承担</w:t>
      </w:r>
      <w:r>
        <w:rPr>
          <w:rFonts w:hint="eastAsia" w:ascii="仿宋" w:hAnsi="仿宋" w:eastAsia="仿宋" w:cs="仿宋"/>
          <w:b w:val="0"/>
          <w:bCs w:val="0"/>
          <w:color w:val="000000"/>
          <w:kern w:val="2"/>
          <w:sz w:val="25"/>
          <w:szCs w:val="25"/>
          <w:highlight w:val="none"/>
        </w:rPr>
        <w:t>。</w:t>
      </w:r>
    </w:p>
    <w:p w14:paraId="22D1F690">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（六）乙方应教育、督促乙方外包服务人员在甲方提供服务期间按甲方的有关规章制度和作息时间完成相应服务工作，</w:t>
      </w:r>
      <w:r>
        <w:rPr>
          <w:rFonts w:hint="eastAsia" w:cs="仿宋"/>
          <w:sz w:val="25"/>
          <w:szCs w:val="25"/>
          <w:highlight w:val="none"/>
          <w:lang w:val="en-US" w:eastAsia="zh-CN"/>
        </w:rPr>
        <w:t>根据甲方</w:t>
      </w:r>
      <w:r>
        <w:rPr>
          <w:rFonts w:hint="eastAsia" w:ascii="仿宋" w:hAnsi="仿宋" w:eastAsia="仿宋" w:cs="仿宋"/>
          <w:sz w:val="25"/>
          <w:szCs w:val="25"/>
          <w:highlight w:val="none"/>
        </w:rPr>
        <w:t>与服务相关的管理和安排</w:t>
      </w:r>
      <w:r>
        <w:rPr>
          <w:rFonts w:hint="eastAsia" w:cs="仿宋"/>
          <w:sz w:val="25"/>
          <w:szCs w:val="25"/>
          <w:highlight w:val="none"/>
          <w:lang w:val="en-US" w:eastAsia="zh-CN"/>
        </w:rPr>
        <w:t>自行对乙方人员进行管理和考核</w:t>
      </w:r>
      <w:r>
        <w:rPr>
          <w:rFonts w:hint="eastAsia" w:ascii="仿宋" w:hAnsi="仿宋" w:eastAsia="仿宋" w:cs="仿宋"/>
          <w:sz w:val="25"/>
          <w:szCs w:val="25"/>
          <w:highlight w:val="none"/>
        </w:rPr>
        <w:t>，接受甲方人员</w:t>
      </w:r>
      <w:r>
        <w:rPr>
          <w:rFonts w:hint="eastAsia" w:cs="仿宋"/>
          <w:sz w:val="25"/>
          <w:szCs w:val="25"/>
          <w:highlight w:val="none"/>
          <w:lang w:val="en-US" w:eastAsia="zh-CN"/>
        </w:rPr>
        <w:t>对劳务服务</w:t>
      </w:r>
      <w:r>
        <w:rPr>
          <w:rFonts w:hint="eastAsia" w:ascii="仿宋" w:hAnsi="仿宋" w:eastAsia="仿宋" w:cs="仿宋"/>
          <w:sz w:val="25"/>
          <w:szCs w:val="25"/>
          <w:highlight w:val="none"/>
        </w:rPr>
        <w:t>的监督和检查，保障甲方业务的正常进行。</w:t>
      </w:r>
    </w:p>
    <w:p w14:paraId="4A9F9CBC">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七）乙方应教育、督促外包服务人员不得以任何形式向他人提供或泄露甲方的商业秘密，保证甲方业务利益不受损失，对甲方各类客户的资料、业务数据等应按照甲方相关文件及工作要求执行保密工作。如乙方外包服务人员泄露甲方商业机密造成甲方或任何第三方经济损失的，乙方应承担赔偿责任。</w:t>
      </w:r>
    </w:p>
    <w:p w14:paraId="76A72ADF">
      <w:pPr>
        <w:spacing w:line="500" w:lineRule="exact"/>
        <w:ind w:firstLine="500" w:firstLineChars="200"/>
        <w:rPr>
          <w:rFonts w:hint="eastAsia" w:ascii="仿宋" w:hAnsi="仿宋" w:eastAsia="仿宋" w:cs="仿宋"/>
          <w:color w:val="000000"/>
          <w:sz w:val="25"/>
          <w:szCs w:val="25"/>
          <w:highlight w:val="none"/>
        </w:rPr>
      </w:pPr>
      <w:r>
        <w:rPr>
          <w:rFonts w:hint="eastAsia" w:ascii="仿宋" w:hAnsi="仿宋" w:eastAsia="仿宋" w:cs="仿宋"/>
          <w:color w:val="000000"/>
          <w:sz w:val="25"/>
          <w:szCs w:val="25"/>
          <w:highlight w:val="none"/>
        </w:rPr>
        <w:t>（八）乙方管理人员应保证每</w:t>
      </w:r>
      <w:r>
        <w:rPr>
          <w:rFonts w:hint="eastAsia" w:ascii="仿宋" w:hAnsi="仿宋" w:eastAsia="仿宋" w:cs="仿宋"/>
          <w:color w:val="000000"/>
          <w:sz w:val="25"/>
          <w:szCs w:val="25"/>
          <w:highlight w:val="none"/>
          <w:lang w:eastAsia="zh-CN"/>
        </w:rPr>
        <w:t>月</w:t>
      </w:r>
      <w:r>
        <w:rPr>
          <w:rFonts w:hint="eastAsia" w:ascii="仿宋" w:hAnsi="仿宋" w:eastAsia="仿宋" w:cs="仿宋"/>
          <w:color w:val="000000"/>
          <w:sz w:val="25"/>
          <w:szCs w:val="25"/>
          <w:highlight w:val="none"/>
        </w:rPr>
        <w:t>到业务外包服务人员工作现场，协调及处理甲乙双方与外包服务人员之间的关系。乙方应当及时处理和协调甲方与外包服务人员之间的工作管理纠纷。</w:t>
      </w:r>
    </w:p>
    <w:p w14:paraId="450CA14C">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（九）乙方外包服务人员从甲方领取的工作工具、设备和其他物品，由甲方负责登记管理，在外包服务员工离职时交还甲方。</w:t>
      </w:r>
    </w:p>
    <w:p w14:paraId="4A1402A6">
      <w:pPr>
        <w:spacing w:before="120" w:line="500" w:lineRule="exact"/>
        <w:ind w:firstLine="200"/>
        <w:jc w:val="center"/>
        <w:rPr>
          <w:rFonts w:hint="eastAsia" w:ascii="仿宋" w:hAnsi="仿宋" w:eastAsia="仿宋" w:cs="仿宋"/>
          <w:b/>
          <w:sz w:val="25"/>
          <w:szCs w:val="25"/>
          <w:highlight w:val="none"/>
        </w:rPr>
      </w:pPr>
    </w:p>
    <w:p w14:paraId="59BFADFA">
      <w:pPr>
        <w:spacing w:before="0" w:line="240" w:lineRule="auto"/>
        <w:ind w:firstLine="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七</w:t>
      </w:r>
      <w:r>
        <w:rPr>
          <w:rFonts w:hint="eastAsia" w:ascii="仿宋" w:hAnsi="仿宋" w:eastAsia="仿宋" w:cs="仿宋"/>
          <w:b/>
          <w:sz w:val="25"/>
          <w:szCs w:val="25"/>
          <w:highlight w:val="none"/>
        </w:rPr>
        <w:t>章  违约责任</w:t>
      </w:r>
    </w:p>
    <w:p w14:paraId="6BA017E7">
      <w:pPr>
        <w:tabs>
          <w:tab w:val="left" w:pos="900"/>
        </w:tabs>
        <w:adjustRightInd w:val="0"/>
        <w:snapToGrid w:val="0"/>
        <w:spacing w:before="30" w:after="30" w:line="500" w:lineRule="exact"/>
        <w:ind w:firstLine="502" w:firstLineChars="200"/>
        <w:rPr>
          <w:rFonts w:hint="eastAsia" w:ascii="仿宋" w:hAnsi="仿宋" w:eastAsia="仿宋" w:cs="仿宋"/>
          <w:b/>
          <w:sz w:val="25"/>
          <w:szCs w:val="25"/>
          <w:highlight w:val="none"/>
        </w:rPr>
      </w:pPr>
    </w:p>
    <w:p w14:paraId="75A2B266">
      <w:pPr>
        <w:tabs>
          <w:tab w:val="left" w:pos="900"/>
        </w:tabs>
        <w:adjustRightInd w:val="0"/>
        <w:snapToGrid w:val="0"/>
        <w:spacing w:before="30" w:after="30" w:line="500" w:lineRule="exact"/>
        <w:ind w:firstLine="502" w:firstLineChars="200"/>
        <w:rPr>
          <w:rFonts w:hint="eastAsia" w:ascii="仿宋" w:hAnsi="仿宋" w:eastAsia="仿宋" w:cs="仿宋"/>
          <w:b/>
          <w:sz w:val="25"/>
          <w:szCs w:val="25"/>
          <w:highlight w:val="none"/>
        </w:rPr>
      </w:pPr>
      <w:r>
        <w:rPr>
          <w:rFonts w:hint="eastAsia" w:ascii="仿宋" w:hAnsi="仿宋" w:eastAsia="仿宋" w:cs="仿宋"/>
          <w:b/>
          <w:sz w:val="25"/>
          <w:szCs w:val="25"/>
          <w:highlight w:val="none"/>
        </w:rPr>
        <w:t>第十四条</w:t>
      </w:r>
      <w:r>
        <w:rPr>
          <w:rFonts w:hint="eastAsia" w:ascii="仿宋" w:hAnsi="仿宋" w:eastAsia="仿宋" w:cs="仿宋"/>
          <w:sz w:val="25"/>
          <w:szCs w:val="25"/>
          <w:highlight w:val="none"/>
        </w:rPr>
        <w:t xml:space="preserve"> 任何一方违反或擅自变更本合同的约定，应当承担由此给对方造成的经济损失和相关责任。</w:t>
      </w:r>
    </w:p>
    <w:p w14:paraId="602E9430">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第十五条 </w:t>
      </w:r>
      <w:r>
        <w:rPr>
          <w:rFonts w:hint="eastAsia" w:ascii="仿宋" w:hAnsi="仿宋" w:eastAsia="仿宋" w:cs="仿宋"/>
          <w:kern w:val="0"/>
          <w:sz w:val="25"/>
          <w:szCs w:val="25"/>
          <w:highlight w:val="none"/>
        </w:rPr>
        <w:t>因甲方原因不能按合同规定的时间及时支付外包费，甲方每日应按</w:t>
      </w:r>
      <w:r>
        <w:rPr>
          <w:rFonts w:hint="eastAsia" w:cs="仿宋"/>
          <w:kern w:val="0"/>
          <w:sz w:val="25"/>
          <w:szCs w:val="25"/>
          <w:highlight w:val="none"/>
          <w:lang w:val="en-US" w:eastAsia="zh-CN"/>
        </w:rPr>
        <w:t>0.1</w:t>
      </w:r>
      <w:r>
        <w:rPr>
          <w:rFonts w:hint="eastAsia" w:ascii="仿宋" w:hAnsi="仿宋" w:eastAsia="仿宋" w:cs="仿宋"/>
          <w:kern w:val="0"/>
          <w:sz w:val="25"/>
          <w:szCs w:val="25"/>
          <w:highlight w:val="none"/>
        </w:rPr>
        <w:t xml:space="preserve">%的比例向乙方支付拖欠部分的违约金。甲方连续拖欠款项达三个月以上，致使合同无法履行，乙方有权解除合同，并依法追回欠款和违约金。 </w:t>
      </w:r>
    </w:p>
    <w:p w14:paraId="2A47052E">
      <w:pPr>
        <w:adjustRightInd w:val="0"/>
        <w:snapToGrid w:val="0"/>
        <w:spacing w:before="30" w:after="30" w:line="500" w:lineRule="exact"/>
        <w:ind w:firstLine="502" w:firstLineChars="200"/>
        <w:rPr>
          <w:rFonts w:hint="eastAsia" w:cs="仿宋"/>
          <w:b w:val="0"/>
          <w:bCs/>
          <w:sz w:val="25"/>
          <w:szCs w:val="25"/>
          <w:highlight w:val="none"/>
          <w:lang w:val="en-US" w:eastAsia="zh-CN"/>
        </w:rPr>
      </w:pPr>
      <w:r>
        <w:rPr>
          <w:rFonts w:hint="eastAsia" w:ascii="仿宋" w:hAnsi="仿宋" w:eastAsia="仿宋" w:cs="仿宋"/>
          <w:b/>
          <w:sz w:val="25"/>
          <w:szCs w:val="25"/>
          <w:highlight w:val="none"/>
        </w:rPr>
        <w:t xml:space="preserve">第十六条 </w:t>
      </w:r>
      <w:r>
        <w:rPr>
          <w:rFonts w:hint="eastAsia" w:cs="仿宋"/>
          <w:b w:val="0"/>
          <w:bCs/>
          <w:sz w:val="25"/>
          <w:szCs w:val="25"/>
          <w:highlight w:val="none"/>
          <w:lang w:val="en-US" w:eastAsia="zh-CN"/>
        </w:rPr>
        <w:t>乙方违约责任：</w:t>
      </w:r>
    </w:p>
    <w:p w14:paraId="290680DB">
      <w:pPr>
        <w:adjustRightInd w:val="0"/>
        <w:snapToGrid w:val="0"/>
        <w:spacing w:before="30" w:after="30" w:line="500" w:lineRule="exact"/>
        <w:ind w:firstLine="500" w:firstLineChars="200"/>
        <w:rPr>
          <w:rFonts w:hint="eastAsia" w:ascii="仿宋" w:hAnsi="仿宋" w:eastAsia="仿宋" w:cs="仿宋"/>
          <w:sz w:val="25"/>
          <w:szCs w:val="25"/>
          <w:highlight w:val="none"/>
        </w:rPr>
      </w:pPr>
      <w:r>
        <w:rPr>
          <w:rFonts w:hint="eastAsia" w:cs="仿宋"/>
          <w:sz w:val="25"/>
          <w:szCs w:val="25"/>
          <w:highlight w:val="none"/>
          <w:lang w:val="en-US" w:eastAsia="zh-CN"/>
        </w:rPr>
        <w:t>1、</w:t>
      </w:r>
      <w:r>
        <w:rPr>
          <w:rFonts w:hint="eastAsia" w:ascii="仿宋" w:hAnsi="仿宋" w:eastAsia="仿宋" w:cs="仿宋"/>
          <w:sz w:val="25"/>
          <w:szCs w:val="25"/>
          <w:highlight w:val="none"/>
        </w:rPr>
        <w:t>乙方无正当理由，未按时支付派出甲方外包服务人员的工资发放，或未及时处理员工纠纷、承担用人责任、或其他违约行为，每日按照外包费的</w:t>
      </w:r>
      <w:r>
        <w:rPr>
          <w:rFonts w:hint="eastAsia" w:cs="仿宋"/>
          <w:sz w:val="25"/>
          <w:szCs w:val="25"/>
          <w:highlight w:val="none"/>
          <w:lang w:val="en-US" w:eastAsia="zh-CN"/>
        </w:rPr>
        <w:t>0.1</w:t>
      </w:r>
      <w:r>
        <w:rPr>
          <w:rFonts w:hint="eastAsia" w:ascii="仿宋" w:hAnsi="仿宋" w:eastAsia="仿宋" w:cs="仿宋"/>
          <w:sz w:val="25"/>
          <w:szCs w:val="25"/>
          <w:highlight w:val="none"/>
        </w:rPr>
        <w:t>%支付违约金，逾期10日以上的，甲方可终止本合同的履行，由此造成的损失和一切法律责任，由乙方自行承担。</w:t>
      </w:r>
    </w:p>
    <w:p w14:paraId="480D95B7">
      <w:pPr>
        <w:adjustRightInd w:val="0"/>
        <w:snapToGrid w:val="0"/>
        <w:spacing w:before="30" w:after="30" w:line="500" w:lineRule="exact"/>
        <w:ind w:firstLine="500" w:firstLineChars="200"/>
        <w:rPr>
          <w:rFonts w:hint="eastAsia" w:ascii="仿宋" w:hAnsi="仿宋" w:eastAsia="仿宋" w:cs="仿宋"/>
          <w:sz w:val="25"/>
          <w:szCs w:val="25"/>
          <w:highlight w:val="none"/>
        </w:rPr>
      </w:pPr>
      <w:r>
        <w:rPr>
          <w:rFonts w:hint="eastAsia" w:cs="仿宋"/>
          <w:sz w:val="25"/>
          <w:szCs w:val="25"/>
          <w:highlight w:val="none"/>
          <w:lang w:val="en-US" w:eastAsia="zh-CN"/>
        </w:rPr>
        <w:t>2、</w:t>
      </w:r>
      <w:r>
        <w:rPr>
          <w:rFonts w:hint="eastAsia" w:ascii="仿宋" w:hAnsi="仿宋" w:eastAsia="仿宋" w:cs="仿宋"/>
          <w:sz w:val="25"/>
          <w:szCs w:val="25"/>
          <w:highlight w:val="none"/>
        </w:rPr>
        <w:t>乙方未按要求提供</w:t>
      </w:r>
      <w:r>
        <w:rPr>
          <w:rFonts w:hint="eastAsia" w:cs="仿宋"/>
          <w:sz w:val="25"/>
          <w:szCs w:val="25"/>
          <w:highlight w:val="none"/>
          <w:lang w:val="en-US" w:eastAsia="zh-CN"/>
        </w:rPr>
        <w:t>劳务</w:t>
      </w:r>
      <w:r>
        <w:rPr>
          <w:rFonts w:hint="eastAsia" w:ascii="仿宋" w:hAnsi="仿宋" w:eastAsia="仿宋" w:cs="仿宋"/>
          <w:sz w:val="25"/>
          <w:szCs w:val="25"/>
          <w:highlight w:val="none"/>
        </w:rPr>
        <w:t>服务或提供服务质量不达标，未在甲方要求期限内整改或整改后仍不合格的，甲方有权解除合同，并要求乙方承担本合同总金额20%的违约金，甲方因此产生损失的乙方应承担赔偿责任。</w:t>
      </w:r>
    </w:p>
    <w:p w14:paraId="183B6D75">
      <w:pPr>
        <w:adjustRightInd w:val="0"/>
        <w:snapToGrid w:val="0"/>
        <w:spacing w:before="30" w:after="30" w:line="500" w:lineRule="exact"/>
        <w:ind w:firstLine="500" w:firstLineChars="200"/>
        <w:rPr>
          <w:rFonts w:hint="eastAsia" w:ascii="仿宋" w:hAnsi="仿宋" w:eastAsia="仿宋" w:cs="仿宋"/>
          <w:b/>
          <w:sz w:val="25"/>
          <w:szCs w:val="25"/>
          <w:highlight w:val="none"/>
        </w:rPr>
      </w:pPr>
      <w:r>
        <w:rPr>
          <w:rFonts w:hint="eastAsia" w:cs="仿宋"/>
          <w:sz w:val="25"/>
          <w:szCs w:val="25"/>
          <w:highlight w:val="none"/>
          <w:lang w:val="en-US" w:eastAsia="zh-CN"/>
        </w:rPr>
        <w:t>3、</w:t>
      </w:r>
      <w:r>
        <w:rPr>
          <w:rFonts w:hint="eastAsia" w:ascii="仿宋" w:hAnsi="仿宋" w:eastAsia="仿宋" w:cs="仿宋"/>
          <w:sz w:val="25"/>
          <w:szCs w:val="25"/>
          <w:highlight w:val="none"/>
        </w:rPr>
        <w:t>乙方应当独立承担用工责任，处理劳务纠纷</w:t>
      </w:r>
      <w:r>
        <w:rPr>
          <w:rFonts w:hint="eastAsia" w:cs="仿宋"/>
          <w:sz w:val="25"/>
          <w:szCs w:val="25"/>
          <w:highlight w:val="none"/>
          <w:lang w:eastAsia="zh-CN"/>
        </w:rPr>
        <w:t>。</w:t>
      </w:r>
      <w:r>
        <w:rPr>
          <w:rFonts w:hint="eastAsia" w:ascii="仿宋" w:hAnsi="仿宋" w:eastAsia="仿宋" w:cs="仿宋"/>
          <w:sz w:val="25"/>
          <w:szCs w:val="25"/>
          <w:highlight w:val="none"/>
        </w:rPr>
        <w:t>如因乙方与员工劳务纠纷造成甲方损失或致使甲方承担任何责任的，乙方应当赔偿甲方因此产生的一切损失。</w:t>
      </w:r>
    </w:p>
    <w:p w14:paraId="4D7DD361">
      <w:pPr>
        <w:adjustRightInd w:val="0"/>
        <w:snapToGrid w:val="0"/>
        <w:spacing w:before="30" w:after="30" w:line="500" w:lineRule="exact"/>
        <w:ind w:firstLine="502" w:firstLineChars="200"/>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 xml:space="preserve">第十七条 </w:t>
      </w:r>
      <w:r>
        <w:rPr>
          <w:rFonts w:hint="eastAsia" w:ascii="仿宋" w:hAnsi="仿宋" w:eastAsia="仿宋" w:cs="仿宋"/>
          <w:kern w:val="0"/>
          <w:sz w:val="25"/>
          <w:szCs w:val="25"/>
          <w:highlight w:val="none"/>
        </w:rPr>
        <w:t>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8B143D7">
      <w:pPr>
        <w:spacing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第十八条</w:t>
      </w:r>
      <w:r>
        <w:rPr>
          <w:rFonts w:hint="eastAsia" w:ascii="仿宋" w:hAnsi="仿宋" w:eastAsia="仿宋" w:cs="仿宋"/>
          <w:sz w:val="25"/>
          <w:szCs w:val="25"/>
          <w:highlight w:val="none"/>
        </w:rPr>
        <w:t xml:space="preserve">  因执行本合同发生的一切争议，双方应首先友好协商解决。经协商不能解决，可向</w:t>
      </w:r>
      <w:r>
        <w:rPr>
          <w:rFonts w:hint="eastAsia" w:cs="仿宋"/>
          <w:sz w:val="25"/>
          <w:szCs w:val="25"/>
          <w:highlight w:val="none"/>
          <w:lang w:val="en-US" w:eastAsia="zh-CN"/>
        </w:rPr>
        <w:t>甲方所在地</w:t>
      </w:r>
      <w:r>
        <w:rPr>
          <w:rFonts w:hint="eastAsia" w:ascii="仿宋" w:hAnsi="仿宋" w:eastAsia="仿宋" w:cs="仿宋"/>
          <w:sz w:val="25"/>
          <w:szCs w:val="25"/>
          <w:highlight w:val="none"/>
        </w:rPr>
        <w:t>人民法院提起诉讼。在诉讼期间，除必须在诉讼过程中进行解决的问题外，合同其余部分应继续履行。</w:t>
      </w:r>
    </w:p>
    <w:p w14:paraId="58D192CE">
      <w:pPr>
        <w:spacing w:before="120" w:line="500" w:lineRule="exact"/>
        <w:ind w:firstLine="0"/>
        <w:jc w:val="both"/>
        <w:rPr>
          <w:rFonts w:hint="eastAsia" w:ascii="仿宋" w:hAnsi="仿宋" w:eastAsia="仿宋" w:cs="仿宋"/>
          <w:b/>
          <w:sz w:val="25"/>
          <w:szCs w:val="25"/>
          <w:highlight w:val="none"/>
        </w:rPr>
      </w:pPr>
    </w:p>
    <w:p w14:paraId="144BF028">
      <w:pPr>
        <w:spacing w:before="120" w:line="500" w:lineRule="exact"/>
        <w:ind w:firstLine="20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八</w:t>
      </w:r>
      <w:r>
        <w:rPr>
          <w:rFonts w:hint="eastAsia" w:ascii="仿宋" w:hAnsi="仿宋" w:eastAsia="仿宋" w:cs="仿宋"/>
          <w:b/>
          <w:sz w:val="25"/>
          <w:szCs w:val="25"/>
          <w:highlight w:val="none"/>
        </w:rPr>
        <w:t>章 合同变更和终止</w:t>
      </w:r>
    </w:p>
    <w:p w14:paraId="1C143E44">
      <w:pPr>
        <w:tabs>
          <w:tab w:val="left" w:pos="0"/>
          <w:tab w:val="left" w:pos="5940"/>
        </w:tabs>
        <w:spacing w:line="500" w:lineRule="exact"/>
        <w:ind w:firstLine="487" w:firstLineChars="194"/>
        <w:jc w:val="left"/>
        <w:rPr>
          <w:rFonts w:hint="eastAsia" w:ascii="仿宋" w:hAnsi="仿宋" w:eastAsia="仿宋" w:cs="仿宋"/>
          <w:b/>
          <w:sz w:val="25"/>
          <w:szCs w:val="25"/>
          <w:highlight w:val="none"/>
        </w:rPr>
      </w:pPr>
    </w:p>
    <w:p w14:paraId="2B9D8F6F">
      <w:pPr>
        <w:tabs>
          <w:tab w:val="left" w:pos="0"/>
          <w:tab w:val="left" w:pos="5940"/>
        </w:tabs>
        <w:spacing w:line="500" w:lineRule="exact"/>
        <w:ind w:firstLine="487" w:firstLineChars="194"/>
        <w:jc w:val="left"/>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第十九条 </w:t>
      </w:r>
      <w:r>
        <w:rPr>
          <w:rFonts w:hint="eastAsia" w:ascii="仿宋" w:hAnsi="仿宋" w:eastAsia="仿宋" w:cs="仿宋"/>
          <w:sz w:val="25"/>
          <w:szCs w:val="25"/>
          <w:highlight w:val="none"/>
        </w:rPr>
        <w:t>甲、乙双方有一方有正当理由要求变更本合同，须提前一个月以书面形式通知对方并协商解决，双方应签署变更合同。</w:t>
      </w:r>
    </w:p>
    <w:p w14:paraId="7DCB6F6B">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第二十条 </w:t>
      </w:r>
      <w:r>
        <w:rPr>
          <w:rFonts w:hint="eastAsia" w:ascii="仿宋" w:hAnsi="仿宋" w:eastAsia="仿宋" w:cs="仿宋"/>
          <w:sz w:val="25"/>
          <w:szCs w:val="25"/>
          <w:highlight w:val="none"/>
        </w:rPr>
        <w:t>本合同期满双方不再续约或者因一方违约导致本合同无法履行，则本合同终止。但合同的终止不得损害第三方的利益，双方应为此做出合理安排。</w:t>
      </w:r>
    </w:p>
    <w:p w14:paraId="76284A6C">
      <w:pPr>
        <w:rPr>
          <w:rFonts w:hint="eastAsia" w:ascii="仿宋" w:hAnsi="仿宋" w:eastAsia="仿宋" w:cs="仿宋"/>
          <w:b/>
          <w:sz w:val="25"/>
          <w:szCs w:val="25"/>
          <w:highlight w:val="none"/>
        </w:rPr>
      </w:pPr>
    </w:p>
    <w:p w14:paraId="35831023">
      <w:pPr>
        <w:rPr>
          <w:rFonts w:hint="eastAsia" w:ascii="仿宋" w:hAnsi="仿宋" w:eastAsia="仿宋" w:cs="仿宋"/>
          <w:b/>
          <w:sz w:val="25"/>
          <w:szCs w:val="25"/>
          <w:highlight w:val="none"/>
        </w:rPr>
      </w:pPr>
    </w:p>
    <w:p w14:paraId="64D37E71">
      <w:pPr>
        <w:rPr>
          <w:rFonts w:hint="eastAsia" w:ascii="仿宋" w:hAnsi="仿宋" w:eastAsia="仿宋" w:cs="仿宋"/>
          <w:b/>
          <w:sz w:val="25"/>
          <w:szCs w:val="25"/>
          <w:highlight w:val="none"/>
        </w:rPr>
      </w:pPr>
    </w:p>
    <w:p w14:paraId="1751E5E2">
      <w:pPr>
        <w:rPr>
          <w:rFonts w:hint="eastAsia" w:ascii="仿宋" w:hAnsi="仿宋" w:eastAsia="仿宋" w:cs="仿宋"/>
          <w:b/>
          <w:sz w:val="25"/>
          <w:szCs w:val="25"/>
          <w:highlight w:val="none"/>
        </w:rPr>
      </w:pPr>
    </w:p>
    <w:p w14:paraId="280A0A34">
      <w:pPr>
        <w:rPr>
          <w:rFonts w:hint="eastAsia" w:ascii="仿宋" w:hAnsi="仿宋" w:eastAsia="仿宋" w:cs="仿宋"/>
          <w:b/>
          <w:sz w:val="25"/>
          <w:szCs w:val="25"/>
          <w:highlight w:val="none"/>
        </w:rPr>
      </w:pPr>
    </w:p>
    <w:p w14:paraId="1EA2F998">
      <w:pPr>
        <w:rPr>
          <w:rFonts w:hint="eastAsia" w:ascii="仿宋" w:hAnsi="仿宋" w:eastAsia="仿宋" w:cs="仿宋"/>
          <w:b/>
          <w:sz w:val="25"/>
          <w:szCs w:val="25"/>
          <w:highlight w:val="none"/>
        </w:rPr>
      </w:pPr>
    </w:p>
    <w:p w14:paraId="79002D9C">
      <w:pPr>
        <w:spacing w:before="0" w:line="240" w:lineRule="auto"/>
        <w:ind w:firstLine="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九</w:t>
      </w:r>
      <w:r>
        <w:rPr>
          <w:rFonts w:hint="eastAsia" w:ascii="仿宋" w:hAnsi="仿宋" w:eastAsia="仿宋" w:cs="仿宋"/>
          <w:b/>
          <w:sz w:val="25"/>
          <w:szCs w:val="25"/>
          <w:highlight w:val="none"/>
        </w:rPr>
        <w:t>章 附则</w:t>
      </w:r>
    </w:p>
    <w:p w14:paraId="180EF74E">
      <w:pPr>
        <w:tabs>
          <w:tab w:val="left" w:pos="900"/>
        </w:tabs>
        <w:adjustRightInd w:val="0"/>
        <w:snapToGrid w:val="0"/>
        <w:spacing w:before="30" w:after="30" w:line="500" w:lineRule="exact"/>
        <w:ind w:firstLine="502" w:firstLineChars="200"/>
        <w:rPr>
          <w:rFonts w:hint="eastAsia" w:ascii="仿宋" w:hAnsi="仿宋" w:eastAsia="仿宋" w:cs="仿宋"/>
          <w:b/>
          <w:sz w:val="25"/>
          <w:szCs w:val="25"/>
          <w:highlight w:val="none"/>
        </w:rPr>
      </w:pPr>
    </w:p>
    <w:p w14:paraId="6FD04049">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第二十一条 </w:t>
      </w:r>
      <w:r>
        <w:rPr>
          <w:rFonts w:hint="eastAsia" w:ascii="仿宋" w:hAnsi="仿宋" w:eastAsia="仿宋" w:cs="仿宋"/>
          <w:sz w:val="25"/>
          <w:szCs w:val="25"/>
          <w:highlight w:val="none"/>
        </w:rPr>
        <w:t>未经对方同意，甲乙任何一方不得将本合同部分或全部权利和义务转让给第三方。</w:t>
      </w:r>
    </w:p>
    <w:p w14:paraId="03E84210">
      <w:pPr>
        <w:pStyle w:val="7"/>
        <w:tabs>
          <w:tab w:val="left" w:pos="900"/>
        </w:tabs>
        <w:spacing w:before="30" w:after="30" w:line="500" w:lineRule="exact"/>
        <w:ind w:firstLine="502" w:firstLineChars="200"/>
        <w:rPr>
          <w:rFonts w:hint="eastAsia" w:ascii="仿宋" w:hAnsi="仿宋" w:eastAsia="仿宋" w:cs="仿宋"/>
          <w:color w:val="auto"/>
          <w:sz w:val="25"/>
          <w:szCs w:val="25"/>
          <w:highlight w:val="none"/>
        </w:rPr>
      </w:pPr>
      <w:r>
        <w:rPr>
          <w:rFonts w:hint="eastAsia" w:ascii="仿宋" w:hAnsi="仿宋" w:eastAsia="仿宋" w:cs="仿宋"/>
          <w:b/>
          <w:color w:val="auto"/>
          <w:sz w:val="25"/>
          <w:szCs w:val="25"/>
          <w:highlight w:val="none"/>
        </w:rPr>
        <w:t xml:space="preserve">第二十二条 </w:t>
      </w:r>
      <w:r>
        <w:rPr>
          <w:rFonts w:hint="eastAsia" w:ascii="仿宋" w:hAnsi="仿宋" w:eastAsia="仿宋" w:cs="仿宋"/>
          <w:color w:val="auto"/>
          <w:sz w:val="25"/>
          <w:szCs w:val="25"/>
          <w:highlight w:val="none"/>
        </w:rPr>
        <w:t>本合同中涉及的所有“通知”、“同意”、“确认”等事项均应以书面形式做出，并作为依据。</w:t>
      </w:r>
    </w:p>
    <w:p w14:paraId="48596A55">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第二十三条 </w:t>
      </w:r>
      <w:r>
        <w:rPr>
          <w:rFonts w:hint="eastAsia" w:ascii="仿宋" w:hAnsi="仿宋" w:eastAsia="仿宋" w:cs="仿宋"/>
          <w:kern w:val="0"/>
          <w:sz w:val="25"/>
          <w:szCs w:val="25"/>
          <w:highlight w:val="none"/>
        </w:rPr>
        <w:t>本合同有关附件及补充合同是本合同不可分割的组成部分，与本合同具有同等法律效力；</w:t>
      </w:r>
      <w:r>
        <w:rPr>
          <w:rFonts w:hint="eastAsia" w:ascii="仿宋" w:hAnsi="仿宋" w:eastAsia="仿宋" w:cs="仿宋"/>
          <w:sz w:val="25"/>
          <w:szCs w:val="25"/>
          <w:highlight w:val="none"/>
        </w:rPr>
        <w:t>本合同未尽事宜，双方另行协商并签署补充合同，作为本合同的附件，具有同等法律效力。</w:t>
      </w:r>
    </w:p>
    <w:p w14:paraId="74228138">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第二十四条</w:t>
      </w:r>
      <w:r>
        <w:rPr>
          <w:rFonts w:hint="eastAsia" w:ascii="仿宋" w:hAnsi="仿宋" w:eastAsia="仿宋" w:cs="仿宋"/>
          <w:sz w:val="25"/>
          <w:szCs w:val="25"/>
          <w:highlight w:val="none"/>
        </w:rPr>
        <w:t>本合同一式</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u w:val="single"/>
          <w:lang w:eastAsia="zh-CN"/>
        </w:rPr>
        <w:t>肆</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份，甲方执</w:t>
      </w:r>
      <w:r>
        <w:rPr>
          <w:rFonts w:hint="eastAsia" w:ascii="仿宋" w:hAnsi="仿宋" w:eastAsia="仿宋" w:cs="仿宋"/>
          <w:sz w:val="25"/>
          <w:szCs w:val="25"/>
          <w:highlight w:val="none"/>
          <w:lang w:eastAsia="zh-CN"/>
        </w:rPr>
        <w:t>三</w:t>
      </w:r>
      <w:r>
        <w:rPr>
          <w:rFonts w:hint="eastAsia" w:ascii="仿宋" w:hAnsi="仿宋" w:eastAsia="仿宋" w:cs="仿宋"/>
          <w:sz w:val="25"/>
          <w:szCs w:val="25"/>
          <w:highlight w:val="none"/>
        </w:rPr>
        <w:t>份</w:t>
      </w:r>
      <w:r>
        <w:rPr>
          <w:rFonts w:hint="eastAsia" w:ascii="仿宋" w:hAnsi="仿宋" w:eastAsia="仿宋" w:cs="仿宋"/>
          <w:sz w:val="25"/>
          <w:szCs w:val="25"/>
          <w:highlight w:val="none"/>
          <w:lang w:eastAsia="zh-CN"/>
        </w:rPr>
        <w:t>，乙方执一份</w:t>
      </w:r>
      <w:r>
        <w:rPr>
          <w:rFonts w:hint="eastAsia" w:ascii="仿宋" w:hAnsi="仿宋" w:eastAsia="仿宋" w:cs="仿宋"/>
          <w:sz w:val="25"/>
          <w:szCs w:val="25"/>
          <w:highlight w:val="none"/>
        </w:rPr>
        <w:t>,自双方有权签字人签字并加盖单位公章之日起生效，至合同终止之日失效。</w:t>
      </w:r>
    </w:p>
    <w:p w14:paraId="40D6B34F">
      <w:pPr>
        <w:tabs>
          <w:tab w:val="left" w:pos="900"/>
        </w:tabs>
        <w:adjustRightInd w:val="0"/>
        <w:snapToGrid w:val="0"/>
        <w:spacing w:before="30" w:after="30" w:line="500" w:lineRule="exact"/>
        <w:rPr>
          <w:rFonts w:hint="eastAsia" w:ascii="仿宋" w:hAnsi="仿宋" w:eastAsia="仿宋" w:cs="仿宋"/>
          <w:b/>
          <w:sz w:val="25"/>
          <w:szCs w:val="25"/>
          <w:highlight w:val="none"/>
        </w:rPr>
      </w:pPr>
    </w:p>
    <w:p w14:paraId="05530BA4">
      <w:pPr>
        <w:tabs>
          <w:tab w:val="left" w:pos="900"/>
        </w:tabs>
        <w:adjustRightInd w:val="0"/>
        <w:snapToGrid w:val="0"/>
        <w:spacing w:before="30" w:after="30" w:line="720" w:lineRule="auto"/>
        <w:ind w:firstLine="251" w:firstLineChars="100"/>
        <w:rPr>
          <w:rFonts w:hint="eastAsia" w:ascii="仿宋" w:hAnsi="仿宋" w:eastAsia="仿宋" w:cs="仿宋"/>
          <w:b/>
          <w:sz w:val="25"/>
          <w:szCs w:val="25"/>
          <w:highlight w:val="none"/>
        </w:rPr>
      </w:pPr>
      <w:r>
        <w:rPr>
          <w:rFonts w:hint="eastAsia" w:ascii="仿宋" w:hAnsi="仿宋" w:eastAsia="仿宋" w:cs="仿宋"/>
          <w:b/>
          <w:sz w:val="25"/>
          <w:szCs w:val="25"/>
          <w:highlight w:val="none"/>
        </w:rPr>
        <w:t>甲方：（盖章）                     乙方：（盖章）</w:t>
      </w:r>
    </w:p>
    <w:p w14:paraId="344B4CEB">
      <w:pPr>
        <w:tabs>
          <w:tab w:val="left" w:pos="900"/>
        </w:tabs>
        <w:adjustRightInd w:val="0"/>
        <w:snapToGrid w:val="0"/>
        <w:spacing w:before="30" w:after="30" w:line="720" w:lineRule="auto"/>
        <w:ind w:firstLine="251" w:firstLineChars="100"/>
        <w:rPr>
          <w:rFonts w:hint="eastAsia" w:ascii="仿宋" w:hAnsi="仿宋" w:eastAsia="仿宋" w:cs="仿宋"/>
          <w:b/>
          <w:sz w:val="25"/>
          <w:szCs w:val="25"/>
          <w:highlight w:val="none"/>
        </w:rPr>
      </w:pPr>
      <w:r>
        <w:rPr>
          <w:rFonts w:hint="eastAsia" w:ascii="仿宋" w:hAnsi="仿宋" w:eastAsia="仿宋" w:cs="仿宋"/>
          <w:b/>
          <w:sz w:val="25"/>
          <w:szCs w:val="25"/>
          <w:highlight w:val="none"/>
        </w:rPr>
        <w:t>法人或</w:t>
      </w:r>
      <w:r>
        <w:rPr>
          <w:rFonts w:hint="eastAsia" w:ascii="仿宋" w:hAnsi="仿宋" w:eastAsia="仿宋" w:cs="仿宋"/>
          <w:b/>
          <w:sz w:val="25"/>
          <w:szCs w:val="25"/>
          <w:highlight w:val="none"/>
          <w:lang w:eastAsia="zh-CN"/>
        </w:rPr>
        <w:t>负责人</w:t>
      </w:r>
      <w:r>
        <w:rPr>
          <w:rFonts w:hint="eastAsia" w:ascii="仿宋" w:hAnsi="仿宋" w:eastAsia="仿宋" w:cs="仿宋"/>
          <w:b/>
          <w:sz w:val="25"/>
          <w:szCs w:val="25"/>
          <w:highlight w:val="none"/>
        </w:rPr>
        <w:t>签字：</w:t>
      </w:r>
      <w:r>
        <w:rPr>
          <w:rFonts w:hint="eastAsia" w:ascii="仿宋" w:hAnsi="仿宋" w:eastAsia="仿宋" w:cs="仿宋"/>
          <w:b/>
          <w:sz w:val="25"/>
          <w:szCs w:val="25"/>
          <w:highlight w:val="none"/>
          <w:lang w:val="en-US" w:eastAsia="zh-CN"/>
        </w:rPr>
        <w:t xml:space="preserve">     </w:t>
      </w:r>
      <w:r>
        <w:rPr>
          <w:rFonts w:hint="eastAsia" w:ascii="仿宋" w:hAnsi="仿宋" w:eastAsia="仿宋" w:cs="仿宋"/>
          <w:b/>
          <w:sz w:val="25"/>
          <w:szCs w:val="25"/>
          <w:highlight w:val="none"/>
        </w:rPr>
        <w:t xml:space="preserve">           法人或授权签约人签字：</w:t>
      </w:r>
    </w:p>
    <w:p w14:paraId="78B14F71">
      <w:pPr>
        <w:tabs>
          <w:tab w:val="left" w:pos="900"/>
        </w:tabs>
        <w:adjustRightInd w:val="0"/>
        <w:snapToGrid w:val="0"/>
        <w:spacing w:line="240" w:lineRule="auto"/>
        <w:ind w:firstLine="251" w:firstLineChars="100"/>
        <w:rPr>
          <w:sz w:val="20"/>
          <w:szCs w:val="20"/>
          <w:highlight w:val="none"/>
        </w:rPr>
        <w:sectPr>
          <w:headerReference r:id="rId7" w:type="default"/>
          <w:footerReference r:id="rId8" w:type="default"/>
          <w:pgSz w:w="11906" w:h="16839"/>
          <w:pgMar w:top="1092" w:right="1026" w:bottom="1454" w:left="1082" w:header="770" w:footer="1291" w:gutter="0"/>
          <w:pgNumType w:fmt="decimal"/>
          <w:cols w:space="720" w:num="1"/>
        </w:sectPr>
      </w:pPr>
      <w:r>
        <w:rPr>
          <w:rFonts w:hint="eastAsia" w:ascii="仿宋" w:hAnsi="仿宋" w:eastAsia="仿宋" w:cs="仿宋"/>
          <w:b/>
          <w:sz w:val="25"/>
          <w:szCs w:val="25"/>
          <w:highlight w:val="none"/>
        </w:rPr>
        <w:t>签订时间：  年   月   日</w:t>
      </w:r>
      <w:r>
        <w:rPr>
          <w:rFonts w:hint="eastAsia" w:ascii="仿宋" w:hAnsi="仿宋" w:eastAsia="仿宋" w:cs="仿宋"/>
          <w:sz w:val="25"/>
          <w:szCs w:val="25"/>
          <w:highlight w:val="none"/>
        </w:rPr>
        <w:t xml:space="preserve">          </w:t>
      </w:r>
      <w:r>
        <w:rPr>
          <w:rFonts w:hint="eastAsia" w:ascii="仿宋" w:hAnsi="仿宋" w:eastAsia="仿宋" w:cs="仿宋"/>
          <w:b/>
          <w:sz w:val="25"/>
          <w:szCs w:val="25"/>
          <w:highlight w:val="none"/>
        </w:rPr>
        <w:t xml:space="preserve">签订时间：   年    月    日 </w:t>
      </w:r>
    </w:p>
    <w:p w14:paraId="2DCEF8B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4AFE">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F2D0B9">
                          <w:pPr>
                            <w:pStyle w:val="5"/>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DF2D0B9">
                    <w:pPr>
                      <w:pStyle w:val="5"/>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v:textbox>
            </v:shape>
          </w:pict>
        </mc:Fallback>
      </mc:AlternateContent>
    </w:r>
  </w:p>
  <w:p w14:paraId="0AF547C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2E9D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E3C1C">
                          <w:pPr>
                            <w:pStyle w:val="5"/>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9DE3C1C">
                    <w:pPr>
                      <w:pStyle w:val="5"/>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AC0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54FB7">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E58430"/>
    <w:multiLevelType w:val="singleLevel"/>
    <w:tmpl w:val="EEE58430"/>
    <w:lvl w:ilvl="0" w:tentative="0">
      <w:start w:val="1"/>
      <w:numFmt w:val="chineseCounting"/>
      <w:suff w:val="nothing"/>
      <w:lvlText w:val="（%1）"/>
      <w:lvlJc w:val="left"/>
      <w:pPr>
        <w:ind w:left="50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AF55B2"/>
    <w:rsid w:val="1EBA30D7"/>
    <w:rsid w:val="282C66CF"/>
    <w:rsid w:val="4C2365F6"/>
    <w:rsid w:val="6EAF5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仿宋" w:hAnsi="仿宋" w:eastAsia="仿宋" w:cs="Arial"/>
      <w:snapToGrid w:val="0"/>
      <w:color w:val="000000"/>
      <w:kern w:val="0"/>
      <w:sz w:val="24"/>
      <w:szCs w:val="21"/>
      <w:lang w:val="en-US" w:eastAsia="en-US" w:bidi="ar-SA"/>
    </w:rPr>
  </w:style>
  <w:style w:type="paragraph" w:styleId="2">
    <w:name w:val="heading 1"/>
    <w:basedOn w:val="1"/>
    <w:next w:val="1"/>
    <w:qFormat/>
    <w:uiPriority w:val="0"/>
    <w:pPr>
      <w:keepNext/>
      <w:keepLines/>
      <w:spacing w:beforeLines="0" w:beforeAutospacing="0" w:afterLines="0" w:afterAutospacing="0" w:line="360" w:lineRule="auto"/>
      <w:ind w:firstLine="643" w:firstLineChars="200"/>
      <w:jc w:val="center"/>
      <w:outlineLvl w:val="0"/>
    </w:pPr>
    <w:rPr>
      <w:rFonts w:eastAsia="宋体" w:asciiTheme="minorAscii" w:hAnsiTheme="minorAscii"/>
      <w:b/>
      <w:kern w:val="44"/>
      <w:sz w:val="32"/>
      <w:szCs w:val="2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spacing w:line="380" w:lineRule="exact"/>
    </w:pPr>
    <w:rPr>
      <w:color w:val="000000"/>
      <w:sz w:val="24"/>
    </w:rPr>
  </w:style>
  <w:style w:type="paragraph" w:styleId="8">
    <w:name w:val="Body Text First Indent"/>
    <w:basedOn w:val="3"/>
    <w:next w:val="9"/>
    <w:qFormat/>
    <w:uiPriority w:val="0"/>
    <w:pPr>
      <w:ind w:firstLine="420"/>
    </w:pPr>
    <w:rPr>
      <w:szCs w:val="24"/>
    </w:rPr>
  </w:style>
  <w:style w:type="paragraph" w:styleId="9">
    <w:name w:val="Body Text First Indent 2"/>
    <w:basedOn w:val="4"/>
    <w:next w:val="8"/>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缺省文本"/>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4555</Words>
  <Characters>4595</Characters>
  <Lines>0</Lines>
  <Paragraphs>0</Paragraphs>
  <TotalTime>0</TotalTime>
  <ScaleCrop>false</ScaleCrop>
  <LinksUpToDate>false</LinksUpToDate>
  <CharactersWithSpaces>4863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2025-06-17T01:59:00Z</dcterms:created>
  <dc:creator>三羊开泰</dc:creator>
  <cp:lastModifiedBy>三羊开泰</cp:lastModifiedBy>
  <dcterms:modified xsi:type="dcterms:W3CDTF">2025-06-17T02:16:10Z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F19A56CC8F2B46AEBB72ABFC802C810B_13</vt:lpwstr>
  </property>
  <property fmtid="{D5CDD505-2E9C-101B-9397-08002B2CF9AE}" pid="4" name="KSOTemplateDocerSaveRecord">
    <vt:lpwstr>eyJoZGlkIjoiNjE5YzYyMzNmMTVkOTMxNDdmYmZiNDFjZDEzOGUwMGMiLCJ1c2VySWQiOiIyODE3OTg3NTAifQ==</vt:lpwstr>
  </property>
</Properties>
</file>