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版本号：ZX2025-06-8320250715002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石鼓校区西侧围墙拆除重建项目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ZX2025-06-83</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石鼓校区西侧围墙拆除重建项目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石鼓校区西侧围墙拆除重建项目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石鼓校区西侧围墙由于建设年代较久，局部墙体向外侧倾斜严重，墙体存在贯通裂缝、龟裂等现象，且局部墙体材料风化严重，存在明显安全隐患。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采购包1（石鼓校区西侧围墙拆除重建）：属于专门面向中小企业采购。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2、施工资质：供应商具备建筑工程施工总承包三级以上（含三级）资质或市政公用工程施工总承包三级以上（含三级）资质，同时具备有效的安全生产许可证。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或市政工程专业二级以上（含二级）注册建造师执业资格，并具有安全生产考核合格B证，须在本单位注册，且无其他在建工程（提供无在建工程承诺书）。</w:t>
      </w:r>
    </w:p>
    <w:p>
      <w:pPr>
        <w:pStyle w:val="null3"/>
      </w:pPr>
      <w:r>
        <w:rPr>
          <w:rFonts w:ascii="仿宋_GB2312" w:hAnsi="仿宋_GB2312" w:cs="仿宋_GB2312" w:eastAsia="仿宋_GB2312"/>
        </w:rPr>
        <w:t>4、省外企业：省外企业须在陕西省建筑市场一体化平台（陕西建设网）企业库可查询。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崔文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采购包1保证金金额：19,006.83元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代理服务费收费标准：参照国家计委计价格[2002]1980号及发改办价格[2003]857号通知规定，以0.8%计取，由成交供应商支付代理服务费。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踏勘时间：2025-07-18 10:00:00</w:t>
            </w:r>
          </w:p>
          <w:p>
            <w:pPr>
              <w:pStyle w:val="null3"/>
              <w:ind w:firstLine="975"/>
            </w:pPr>
            <w:r>
              <w:rPr>
                <w:rFonts w:ascii="仿宋_GB2312" w:hAnsi="仿宋_GB2312" w:cs="仿宋_GB2312" w:eastAsia="仿宋_GB2312"/>
              </w:rPr>
              <w:t>踏勘地点：宝鸡文理学院石鼓校区（供应商自行踏勘）</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联系电话号码：18292710618</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宝鸡文理学院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973,300.00</w:t>
      </w:r>
    </w:p>
    <w:p>
      <w:pPr>
        <w:pStyle w:val="null3"/>
      </w:pPr>
      <w:r>
        <w:rPr>
          <w:rFonts w:ascii="仿宋_GB2312" w:hAnsi="仿宋_GB2312" w:cs="仿宋_GB2312" w:eastAsia="仿宋_GB2312"/>
        </w:rPr>
        <w:t>采购包最高限价（元）: 855,543.51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西侧围墙拆除重建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973,300.00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标的名称：西侧围墙拆除重建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宝鸡文理学院石鼓校区西侧围墙拆除重建项目；具体内容工程量清</w:t>
            </w:r>
            <w:r>
              <w:rPr>
                <w:rFonts w:ascii="仿宋_GB2312" w:hAnsi="仿宋_GB2312" w:cs="仿宋_GB2312" w:eastAsia="仿宋_GB2312"/>
                <w:sz w:val="24"/>
              </w:rPr>
              <w:t>单及图纸详见</w:t>
            </w:r>
            <w:r>
              <w:rPr>
                <w:rFonts w:ascii="仿宋_GB2312" w:hAnsi="仿宋_GB2312" w:cs="仿宋_GB2312" w:eastAsia="仿宋_GB2312"/>
                <w:sz w:val="24"/>
              </w:rPr>
              <w:t>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1.工期要求：50日历日内。 2.施工地点：宝鸡文理学院石鼓校区。 3.质保期：项目质保2年。 4.工程质量：合格。 5.采购资金的支付方式及时间：本项目无预付款；完成全部合同内容，经采购人验收合格，且提供增值税发票后90日内支付合同价款的80%；本项目经采购人委托的审计单位完成工程审计后，且提供增值税发票后180日内，支付至结算价97%；剩余结算造价3%作为工程质量保修金，两年质保期满视保修情况无息退还。</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一、编制依据: 1、《陕西省建设工程工程量清单计价规则》（2009）、《陕西省建设工程工程量清单计价费率》（2009）及其配套文件中工程量计算办法； 2、《关于增加建设工程扬尘治理专项措施费及综合人工单价调整的通知》（陕建发 [2017]270号）；农民工实名制费率实行陕建发[2019]1246号文；《关于调整陕西省建设工程计价依据的通知》（陕建发〔2019〕45号），《关于调整房屋建筑和市政基础设施工程工程量清单计价综合人工单价的通知》（陕建发〔2021〕1097号）； 3、《陕西省园林、绿化、市政、安装工程消耗量定额》（2004）、《陕西省建设工程消耗量定额（2004）补充定额）》； 4、正常施工组织设计及施工方法； 5、与建设工程项目有关的标准、规范、图集、技术资料； 6、本工程量清单所提供工程项目特征仅表达了主要工程做法，组价时应依据设计图纸、相关图集，结合招标文件，合同条款，技术规范、图纸、答疑纪要等进行组价。 二、金建软件版本号：清 7.0.5。 三、有关问题说明 1、运距暂按11km考虑； 2、暂列金5万元列入其他项目费中。 3、原围墙基础混凝土按照225m计算，最终按照实际发生量现场签认。 4、本次招标中未详尽部分以工程量清单为准，后期按实结算。 四、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供应商具备建筑工程施工总承包三级以上（含三级）资质或市政公用工程施工总承包三级以上（含三级）资质，同时具备有效的安全生产许可证。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拟派项目经理具有建筑工程专业二级以上（含二级）或市政工程专业二级以上（含二级）注册建造师执业资格，并具有安全生产考核合格B证，须在本单位注册，且无其他在建工程（提供无在建工程承诺书）。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省外企业</w:t>
            </w:r>
          </w:p>
        </w:tc>
        <w:tc>
          <w:tcPr>
            <w:tcW w:type="dxa" w:w="3322"/>
          </w:tcPr>
          <w:p>
            <w:pPr>
              <w:pStyle w:val="null3"/>
            </w:pPr>
            <w:r>
              <w:rPr>
                <w:rFonts w:ascii="仿宋_GB2312" w:hAnsi="仿宋_GB2312" w:cs="仿宋_GB2312" w:eastAsia="仿宋_GB2312"/>
              </w:rPr>
              <w:t>省外企业须在陕西省建筑市场一体化平台（陕西建设网）企业库可查询。</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报价一览表.docx 已标价工程量清单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满足本磋商文件中第三章“三、针对本项目的其他技术服务要求”条款内容的</w:t>
            </w:r>
          </w:p>
        </w:tc>
        <w:tc>
          <w:tcPr>
            <w:tcW w:type="dxa" w:w="1661"/>
          </w:tcPr>
          <w:p>
            <w:pPr>
              <w:pStyle w:val="null3"/>
            </w:pPr>
            <w:r>
              <w:rPr>
                <w:rFonts w:ascii="仿宋_GB2312" w:hAnsi="仿宋_GB2312" w:cs="仿宋_GB2312" w:eastAsia="仿宋_GB2312"/>
              </w:rPr>
              <w:t>实质性商务部分偏离表.docx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4应急预案.docx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供应商提供针对本项目施工机械配备和材料投入计划。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6安全文明施工措施.docx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供应商提供所投产品砖、土方的来源渠道证明文件，包括但不限于供货协议或原厂授权或购买发票/收据等，提供齐全计3分，否则不计分。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7来源渠道.docx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9项目组织机构.docx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供应商磋商产品中每有一项为环境标志产品经国家认证的得0.5分，最多得1分。（以经国家确定的认证机构出具的、处于有效期内的环境标志产品认证证书为准。）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详见附件：1施工方案.docx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详见附件：3质量技术组织措施.docx</w:t>
      </w:r>
    </w:p>
    <w:p>
      <w:pPr>
        <w:pStyle w:val="null3"/>
        <w:ind w:firstLine="960"/>
      </w:pPr>
      <w:r>
        <w:rPr>
          <w:rFonts w:ascii="仿宋_GB2312" w:hAnsi="仿宋_GB2312" w:cs="仿宋_GB2312" w:eastAsia="仿宋_GB2312"/>
        </w:rPr>
        <w:t>详见附件：4应急预案.docx</w:t>
      </w:r>
    </w:p>
    <w:p>
      <w:pPr>
        <w:pStyle w:val="null3"/>
        <w:ind w:firstLine="960"/>
      </w:pPr>
      <w:r>
        <w:rPr>
          <w:rFonts w:ascii="仿宋_GB2312" w:hAnsi="仿宋_GB2312" w:cs="仿宋_GB2312" w:eastAsia="仿宋_GB2312"/>
        </w:rPr>
        <w:t>详见附件：5施工机械配备和材料投入计划.docx</w:t>
      </w:r>
    </w:p>
    <w:p>
      <w:pPr>
        <w:pStyle w:val="null3"/>
        <w:ind w:firstLine="960"/>
      </w:pPr>
      <w:r>
        <w:rPr>
          <w:rFonts w:ascii="仿宋_GB2312" w:hAnsi="仿宋_GB2312" w:cs="仿宋_GB2312" w:eastAsia="仿宋_GB2312"/>
        </w:rPr>
        <w:t>详见附件：6安全文明施工措施.docx</w:t>
      </w:r>
    </w:p>
    <w:p>
      <w:pPr>
        <w:pStyle w:val="null3"/>
        <w:ind w:firstLine="960"/>
      </w:pPr>
      <w:r>
        <w:rPr>
          <w:rFonts w:ascii="仿宋_GB2312" w:hAnsi="仿宋_GB2312" w:cs="仿宋_GB2312" w:eastAsia="仿宋_GB2312"/>
        </w:rPr>
        <w:t>详见附件：7来源渠道.docx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详见附件：9项目组织机构.docx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详见附件：11环保产品.docx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详见附件：实质性商务部分偏离表.docx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