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版本号：ZX2025-04-1920250710001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陕西省战略性矿产停产矿山调查评价项目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ZX2025-04-19</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陕西省战略性矿产停产矿山调查评价项目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ZX2025-04-19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陕西省战略性矿产停产矿山调查评价项目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本项目为陕西省战略性矿产停产矿山调查评价项目，1项，具体内容详见采购文件第三章。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采购包1保证金金额：35,419.00元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本项目为陕西省战略性矿产停产矿山调查评价项目，1项。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陕西省战略性矿产停产矿山调查评价项目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标的名称：陕西省战略性矿产停产矿山调查评价项目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color w:val="0000FF"/>
              </w:rPr>
              <w:t>一、项目目标</w:t>
            </w:r>
          </w:p>
          <w:p>
            <w:pPr>
              <w:pStyle w:val="null3"/>
              <w:ind w:firstLine="400"/>
              <w:jc w:val="left"/>
            </w:pPr>
            <w:r>
              <w:rPr>
                <w:rFonts w:ascii="仿宋_GB2312" w:hAnsi="仿宋_GB2312" w:cs="仿宋_GB2312" w:eastAsia="仿宋_GB2312"/>
                <w:color w:val="0000FF"/>
              </w:rPr>
              <w:t>按照《自然资源部办公厅关于推进停产矿山就矿找矿工作的通知》（自然资办函〔</w:t>
            </w:r>
            <w:r>
              <w:rPr>
                <w:rFonts w:ascii="仿宋_GB2312" w:hAnsi="仿宋_GB2312" w:cs="仿宋_GB2312" w:eastAsia="仿宋_GB2312"/>
                <w:color w:val="0000FF"/>
              </w:rPr>
              <w:t>2024〕1954号）要求，全面摸排陕西省境内战略性矿产关闭、停产矿山情况，分类施策推动就矿找矿、复工复产，力争“盘活一批，出让一批”，增储上产，提升国内资源保障能力。</w:t>
            </w:r>
          </w:p>
          <w:p>
            <w:pPr>
              <w:pStyle w:val="null3"/>
              <w:jc w:val="left"/>
            </w:pPr>
            <w:r>
              <w:rPr>
                <w:rFonts w:ascii="仿宋_GB2312" w:hAnsi="仿宋_GB2312" w:cs="仿宋_GB2312" w:eastAsia="仿宋_GB2312"/>
                <w:b/>
                <w:color w:val="0000FF"/>
              </w:rPr>
              <w:t>二、工作内容</w:t>
            </w:r>
          </w:p>
          <w:p>
            <w:pPr>
              <w:pStyle w:val="null3"/>
              <w:jc w:val="left"/>
            </w:pPr>
            <w:r>
              <w:rPr>
                <w:rFonts w:ascii="仿宋_GB2312" w:hAnsi="仿宋_GB2312" w:cs="仿宋_GB2312" w:eastAsia="仿宋_GB2312"/>
                <w:color w:val="0000FF"/>
              </w:rPr>
              <w:t>（一）项目背景</w:t>
            </w:r>
          </w:p>
          <w:p>
            <w:pPr>
              <w:pStyle w:val="null3"/>
              <w:ind w:firstLine="400"/>
              <w:jc w:val="left"/>
            </w:pPr>
            <w:r>
              <w:rPr>
                <w:rFonts w:ascii="仿宋_GB2312" w:hAnsi="仿宋_GB2312" w:cs="仿宋_GB2312" w:eastAsia="仿宋_GB2312"/>
                <w:color w:val="0000FF"/>
              </w:rPr>
              <w:t>矿产资源是国民经济和社会发展的重要物质基础。我国矿产资源保障能力面临资源分布不均、对外依存度高、环境压力大等挑战。为进一步夯实立足国内保障国家能源资源供应安全的工作基础，推动矿产资源增储上产，提升保障能力，陕西省自然资源厅按照自然资源部部署，聚焦战略性矿产，开展停产矿山就矿找矿工作。</w:t>
            </w:r>
          </w:p>
          <w:p>
            <w:pPr>
              <w:pStyle w:val="null3"/>
              <w:jc w:val="left"/>
            </w:pPr>
            <w:r>
              <w:rPr>
                <w:rFonts w:ascii="仿宋_GB2312" w:hAnsi="仿宋_GB2312" w:cs="仿宋_GB2312" w:eastAsia="仿宋_GB2312"/>
                <w:color w:val="0000FF"/>
              </w:rPr>
              <w:t>（二）工作内容</w:t>
            </w:r>
          </w:p>
          <w:p>
            <w:pPr>
              <w:pStyle w:val="null3"/>
              <w:ind w:firstLine="400"/>
              <w:jc w:val="left"/>
            </w:pPr>
            <w:r>
              <w:rPr>
                <w:rFonts w:ascii="仿宋_GB2312" w:hAnsi="仿宋_GB2312" w:cs="仿宋_GB2312" w:eastAsia="仿宋_GB2312"/>
                <w:color w:val="0000FF"/>
              </w:rPr>
              <w:t>工作内容包括梳理停产、关闭矿山现状，调查停产、关闭的原因，研究提出具体措施，分类汇总等四部分。</w:t>
            </w:r>
          </w:p>
          <w:p>
            <w:pPr>
              <w:pStyle w:val="null3"/>
              <w:ind w:firstLine="400"/>
              <w:jc w:val="left"/>
            </w:pPr>
            <w:r>
              <w:rPr>
                <w:rFonts w:ascii="仿宋_GB2312" w:hAnsi="仿宋_GB2312" w:cs="仿宋_GB2312" w:eastAsia="仿宋_GB2312"/>
                <w:color w:val="0000FF"/>
              </w:rPr>
              <w:t>1.梳理停产、关闭矿山现状</w:t>
            </w:r>
          </w:p>
          <w:p>
            <w:pPr>
              <w:pStyle w:val="null3"/>
              <w:ind w:firstLine="400"/>
              <w:jc w:val="left"/>
            </w:pPr>
            <w:r>
              <w:rPr>
                <w:rFonts w:ascii="仿宋_GB2312" w:hAnsi="仿宋_GB2312" w:cs="仿宋_GB2312" w:eastAsia="仿宋_GB2312"/>
                <w:color w:val="0000FF"/>
              </w:rPr>
              <w:t>梳理停产、关闭矿山现状，包括矿山名称、矿业权人、开采矿种、停产时间等基本信息。</w:t>
            </w:r>
          </w:p>
          <w:p>
            <w:pPr>
              <w:pStyle w:val="null3"/>
              <w:ind w:firstLine="400"/>
              <w:jc w:val="left"/>
            </w:pPr>
            <w:r>
              <w:rPr>
                <w:rFonts w:ascii="仿宋_GB2312" w:hAnsi="仿宋_GB2312" w:cs="仿宋_GB2312" w:eastAsia="仿宋_GB2312"/>
                <w:color w:val="0000FF"/>
              </w:rPr>
              <w:t>2.详细调查矿山关闭、停产原因</w:t>
            </w:r>
          </w:p>
          <w:p>
            <w:pPr>
              <w:pStyle w:val="null3"/>
              <w:ind w:firstLine="400"/>
              <w:jc w:val="left"/>
            </w:pPr>
            <w:r>
              <w:rPr>
                <w:rFonts w:ascii="仿宋_GB2312" w:hAnsi="仿宋_GB2312" w:cs="仿宋_GB2312" w:eastAsia="仿宋_GB2312"/>
                <w:color w:val="0000FF"/>
              </w:rPr>
              <w:t>详细调查矿山关闭、停产的原因，是厘清问题的根源。系统调查矿山关闭、停产原因，初步判断是否具备就矿找矿、复工复产条件。</w:t>
            </w:r>
          </w:p>
          <w:p>
            <w:pPr>
              <w:pStyle w:val="null3"/>
              <w:ind w:firstLine="400"/>
              <w:jc w:val="left"/>
            </w:pPr>
            <w:r>
              <w:rPr>
                <w:rFonts w:ascii="仿宋_GB2312" w:hAnsi="仿宋_GB2312" w:cs="仿宋_GB2312" w:eastAsia="仿宋_GB2312"/>
                <w:color w:val="0000FF"/>
              </w:rPr>
              <w:t>3.针对具有复工复产潜力的矿山，研究提出解决问题的举措建议，推动复工复产。对关闭矿山资源潜力进行评价，推进就矿找矿。</w:t>
            </w:r>
          </w:p>
          <w:p>
            <w:pPr>
              <w:pStyle w:val="null3"/>
              <w:ind w:firstLine="400"/>
              <w:jc w:val="left"/>
            </w:pPr>
            <w:r>
              <w:rPr>
                <w:rFonts w:ascii="仿宋_GB2312" w:hAnsi="仿宋_GB2312" w:cs="仿宋_GB2312" w:eastAsia="仿宋_GB2312"/>
                <w:color w:val="0000FF"/>
              </w:rPr>
              <w:t>4.分类汇总</w:t>
            </w:r>
          </w:p>
          <w:p>
            <w:pPr>
              <w:pStyle w:val="null3"/>
              <w:ind w:firstLine="400"/>
              <w:jc w:val="left"/>
            </w:pPr>
            <w:r>
              <w:rPr>
                <w:rFonts w:ascii="仿宋_GB2312" w:hAnsi="仿宋_GB2312" w:cs="仿宋_GB2312" w:eastAsia="仿宋_GB2312"/>
                <w:color w:val="0000FF"/>
              </w:rPr>
              <w:t>对关闭、停产矿山情况进行分类汇总，明确分类解决方案。</w:t>
            </w:r>
          </w:p>
          <w:p>
            <w:pPr>
              <w:pStyle w:val="null3"/>
              <w:jc w:val="left"/>
            </w:pPr>
            <w:r>
              <w:rPr>
                <w:rFonts w:ascii="仿宋_GB2312" w:hAnsi="仿宋_GB2312" w:cs="仿宋_GB2312" w:eastAsia="仿宋_GB2312"/>
                <w:b/>
                <w:color w:val="0000FF"/>
              </w:rPr>
              <w:t>三、工作要求</w:t>
            </w:r>
          </w:p>
          <w:p>
            <w:pPr>
              <w:pStyle w:val="null3"/>
              <w:ind w:firstLine="400"/>
              <w:jc w:val="left"/>
            </w:pPr>
            <w:r>
              <w:rPr>
                <w:rFonts w:ascii="仿宋_GB2312" w:hAnsi="仿宋_GB2312" w:cs="仿宋_GB2312" w:eastAsia="仿宋_GB2312"/>
                <w:color w:val="0000FF"/>
              </w:rPr>
              <w:t>1.严格按照自然资源部相关文件要求完成调查评价工作。</w:t>
            </w:r>
          </w:p>
          <w:p>
            <w:pPr>
              <w:pStyle w:val="null3"/>
              <w:ind w:firstLine="400"/>
              <w:jc w:val="left"/>
            </w:pPr>
            <w:r>
              <w:rPr>
                <w:rFonts w:ascii="仿宋_GB2312" w:hAnsi="仿宋_GB2312" w:cs="仿宋_GB2312" w:eastAsia="仿宋_GB2312"/>
                <w:color w:val="0000FF"/>
              </w:rPr>
              <w:t>2.调查基准日为2024年12月31日。</w:t>
            </w:r>
          </w:p>
          <w:p>
            <w:pPr>
              <w:pStyle w:val="null3"/>
              <w:ind w:firstLine="400"/>
              <w:jc w:val="left"/>
            </w:pPr>
            <w:r>
              <w:rPr>
                <w:rFonts w:ascii="仿宋_GB2312" w:hAnsi="仿宋_GB2312" w:cs="仿宋_GB2312" w:eastAsia="仿宋_GB2312"/>
                <w:color w:val="0000FF"/>
              </w:rPr>
              <w:t>3.坐标系统一采用2000国家大地坐标系和1985国家高程基准。</w:t>
            </w:r>
          </w:p>
          <w:p>
            <w:pPr>
              <w:pStyle w:val="null3"/>
              <w:jc w:val="left"/>
            </w:pPr>
            <w:r>
              <w:rPr>
                <w:rFonts w:ascii="仿宋_GB2312" w:hAnsi="仿宋_GB2312" w:cs="仿宋_GB2312" w:eastAsia="仿宋_GB2312"/>
                <w:b/>
                <w:color w:val="0000FF"/>
              </w:rPr>
              <w:t>四、成果要求</w:t>
            </w:r>
          </w:p>
          <w:p>
            <w:pPr>
              <w:pStyle w:val="null3"/>
              <w:ind w:firstLine="400"/>
              <w:jc w:val="left"/>
            </w:pPr>
            <w:r>
              <w:rPr>
                <w:rFonts w:ascii="仿宋_GB2312" w:hAnsi="仿宋_GB2312" w:cs="仿宋_GB2312" w:eastAsia="仿宋_GB2312"/>
                <w:color w:val="0000FF"/>
              </w:rPr>
              <w:t>1.调查评价关闭矿山50个、停产矿山100个，形成清单，查清关闭停产原因，分类施策提出复工复产、就矿找矿建议。</w:t>
            </w:r>
          </w:p>
          <w:p>
            <w:pPr>
              <w:pStyle w:val="null3"/>
              <w:ind w:firstLine="400"/>
              <w:jc w:val="left"/>
            </w:pPr>
            <w:r>
              <w:rPr>
                <w:rFonts w:ascii="仿宋_GB2312" w:hAnsi="仿宋_GB2312" w:cs="仿宋_GB2312" w:eastAsia="仿宋_GB2312"/>
                <w:color w:val="0000FF"/>
              </w:rPr>
              <w:t>2.形成调查评价报告及相关附表、附图、附件，提交至陕西省自然资源厅。</w:t>
            </w:r>
          </w:p>
          <w:p>
            <w:pPr>
              <w:pStyle w:val="null3"/>
              <w:jc w:val="left"/>
            </w:pPr>
            <w:r>
              <w:rPr>
                <w:rFonts w:ascii="仿宋_GB2312" w:hAnsi="仿宋_GB2312" w:cs="仿宋_GB2312" w:eastAsia="仿宋_GB2312"/>
                <w:b/>
                <w:color w:val="0000FF"/>
              </w:rPr>
              <w:t>五、质量保证</w:t>
            </w:r>
          </w:p>
          <w:p>
            <w:pPr>
              <w:pStyle w:val="null3"/>
              <w:ind w:firstLine="400"/>
              <w:jc w:val="left"/>
            </w:pPr>
            <w:r>
              <w:rPr>
                <w:rFonts w:ascii="仿宋_GB2312" w:hAnsi="仿宋_GB2312" w:cs="仿宋_GB2312" w:eastAsia="仿宋_GB2312"/>
                <w:color w:val="0000FF"/>
              </w:rPr>
              <w:t>1.在服务范围内按工作内容和要求制定详细的方案，方案科学、合理、可靠。</w:t>
            </w:r>
          </w:p>
          <w:p>
            <w:pPr>
              <w:pStyle w:val="null3"/>
              <w:ind w:firstLine="400"/>
              <w:jc w:val="left"/>
            </w:pPr>
            <w:r>
              <w:rPr>
                <w:rFonts w:ascii="仿宋_GB2312" w:hAnsi="仿宋_GB2312" w:cs="仿宋_GB2312" w:eastAsia="仿宋_GB2312"/>
                <w:color w:val="0000FF"/>
              </w:rPr>
              <w:t>2.人员配备合理。有针对本项目的专项服务小组，项目负责人、工作人员分工明确（应有具体成员名单，包括姓名、工作职责、联系方式等）。</w:t>
            </w:r>
          </w:p>
          <w:p>
            <w:pPr>
              <w:pStyle w:val="null3"/>
              <w:ind w:firstLine="400"/>
              <w:jc w:val="left"/>
            </w:pPr>
            <w:r>
              <w:rPr>
                <w:rFonts w:ascii="仿宋_GB2312" w:hAnsi="仿宋_GB2312" w:cs="仿宋_GB2312" w:eastAsia="仿宋_GB2312"/>
                <w:color w:val="0000FF"/>
              </w:rPr>
              <w:t>3.有各类突发事件的应急预案和措施，有明确具体的承诺。</w:t>
            </w:r>
          </w:p>
          <w:p>
            <w:pPr>
              <w:pStyle w:val="null3"/>
              <w:ind w:firstLine="400"/>
              <w:jc w:val="left"/>
            </w:pPr>
            <w:r>
              <w:rPr>
                <w:rFonts w:ascii="仿宋_GB2312" w:hAnsi="仿宋_GB2312" w:cs="仿宋_GB2312" w:eastAsia="仿宋_GB2312"/>
                <w:color w:val="0000FF"/>
              </w:rPr>
              <w:t>4.供应商所拟派的工作人员，若在服务期间发生任何伤害，采购人概不负责，由供应商自行处理。</w:t>
            </w:r>
          </w:p>
          <w:p>
            <w:pPr>
              <w:pStyle w:val="null3"/>
              <w:jc w:val="left"/>
            </w:pPr>
            <w:r>
              <w:rPr>
                <w:rFonts w:ascii="仿宋_GB2312" w:hAnsi="仿宋_GB2312" w:cs="仿宋_GB2312" w:eastAsia="仿宋_GB2312"/>
                <w:b/>
                <w:color w:val="0000FF"/>
              </w:rPr>
              <w:t>六、项目团队要求</w:t>
            </w:r>
          </w:p>
          <w:p>
            <w:pPr>
              <w:pStyle w:val="null3"/>
              <w:ind w:firstLine="400"/>
              <w:jc w:val="left"/>
            </w:pPr>
            <w:r>
              <w:rPr>
                <w:rFonts w:ascii="仿宋_GB2312" w:hAnsi="仿宋_GB2312" w:cs="仿宋_GB2312" w:eastAsia="仿宋_GB2312"/>
                <w:color w:val="0000FF"/>
              </w:rPr>
              <w:t>1.项目人员有矿产资源国情调查、深化矿产资源国情调查或类似项目工作经历，专业知识扎实，工作作风优良。</w:t>
            </w:r>
          </w:p>
          <w:p>
            <w:pPr>
              <w:pStyle w:val="null3"/>
              <w:ind w:firstLine="400"/>
              <w:jc w:val="left"/>
            </w:pPr>
            <w:r>
              <w:rPr>
                <w:rFonts w:ascii="仿宋_GB2312" w:hAnsi="仿宋_GB2312" w:cs="仿宋_GB2312" w:eastAsia="仿宋_GB2312"/>
                <w:color w:val="0000FF"/>
              </w:rPr>
              <w:t>2.若因不可抗力因素，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pPr>
              <w:pStyle w:val="null3"/>
              <w:jc w:val="left"/>
            </w:pPr>
            <w:r>
              <w:rPr>
                <w:rFonts w:ascii="仿宋_GB2312" w:hAnsi="仿宋_GB2312" w:cs="仿宋_GB2312" w:eastAsia="仿宋_GB2312"/>
                <w:b/>
                <w:color w:val="0000FF"/>
              </w:rPr>
              <w:t>七、验收要求</w:t>
            </w:r>
          </w:p>
          <w:p>
            <w:pPr>
              <w:pStyle w:val="null3"/>
              <w:ind w:firstLine="400"/>
              <w:jc w:val="left"/>
            </w:pPr>
            <w:r>
              <w:rPr>
                <w:rFonts w:ascii="仿宋_GB2312" w:hAnsi="仿宋_GB2312" w:cs="仿宋_GB2312" w:eastAsia="仿宋_GB2312"/>
                <w:color w:val="0000FF"/>
              </w:rPr>
              <w:t>按照合同要求，项目成果通过采购人组织的评审验收。</w:t>
            </w:r>
          </w:p>
          <w:p>
            <w:pPr>
              <w:pStyle w:val="null3"/>
              <w:ind w:firstLine="400"/>
              <w:jc w:val="left"/>
            </w:pP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自签订合同之日起，2025年12月31日前将通过评审的报告上报采购人（具体以合同签订及项目实施情况为准）。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合同生效后，采购人在收到成交供应商提供的税务部门认可的等额有效发票之日起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项目提交全部成果后，采购人在收到成交供应商提供的税务部门认可的等额有效发票之日起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（2）未按合同要求提供的服务，采购人会同采购代理机构有权终止合同和对成交投标人的违约行为进行追究。 （3）成交供应商不能按期完成工作任务，每超过提交日期一天支付合同价款的千分之一，返还于采购人，作为赔偿。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4承诺书.docx 5服务响应偏离表.docx 标的清单 1分项价格表.docx 报价表 2商务部分偏离表.docx 响应函 3资格证明文件.docx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政策背景理解</w:t>
            </w:r>
          </w:p>
        </w:tc>
        <w:tc>
          <w:tcPr>
            <w:tcW w:type="dxa" w:w="2492"/>
          </w:tcPr>
          <w:p>
            <w:pPr>
              <w:pStyle w:val="null3"/>
            </w:pPr>
            <w:r>
              <w:rPr>
                <w:rFonts w:ascii="仿宋_GB2312" w:hAnsi="仿宋_GB2312" w:cs="仿宋_GB2312" w:eastAsia="仿宋_GB2312"/>
              </w:rPr>
              <w:t>供应商提供对战略性矿产停产矿山调查的政策背景方面描述理解全面、表述清晰。满足项目需求。 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6政策背景理解.docx</w:t>
            </w:r>
          </w:p>
        </w:tc>
      </w:tr>
      <w:tr>
        <w:tc>
          <w:tcPr>
            <w:tcW w:type="dxa" w:w="831"/>
            <w:vMerge/>
          </w:tcPr>
          <w:p/>
        </w:tc>
        <w:tc>
          <w:tcPr>
            <w:tcW w:type="dxa" w:w="1661"/>
          </w:tcPr>
          <w:p>
            <w:pPr>
              <w:pStyle w:val="null3"/>
            </w:pPr>
            <w:r>
              <w:rPr>
                <w:rFonts w:ascii="仿宋_GB2312" w:hAnsi="仿宋_GB2312" w:cs="仿宋_GB2312" w:eastAsia="仿宋_GB2312"/>
              </w:rPr>
              <w:t>实施计划编制</w:t>
            </w:r>
          </w:p>
        </w:tc>
        <w:tc>
          <w:tcPr>
            <w:tcW w:type="dxa" w:w="2492"/>
          </w:tcPr>
          <w:p>
            <w:pPr>
              <w:pStyle w:val="null3"/>
            </w:pPr>
            <w:r>
              <w:rPr>
                <w:rFonts w:ascii="仿宋_GB2312" w:hAnsi="仿宋_GB2312" w:cs="仿宋_GB2312" w:eastAsia="仿宋_GB2312"/>
              </w:rPr>
              <w:t>供应对针对战略性矿产停产矿山调查工作内容，提供完整合理的工作流程；框架清晰，符合项目目标，内容结合项目特点，有利于推动项目实施的措施。 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7实施计划编制.docx</w:t>
            </w:r>
          </w:p>
        </w:tc>
      </w:tr>
      <w:tr>
        <w:tc>
          <w:tcPr>
            <w:tcW w:type="dxa" w:w="831"/>
            <w:vMerge/>
          </w:tcPr>
          <w:p/>
        </w:tc>
        <w:tc>
          <w:tcPr>
            <w:tcW w:type="dxa" w:w="1661"/>
          </w:tcPr>
          <w:p>
            <w:pPr>
              <w:pStyle w:val="null3"/>
            </w:pPr>
            <w:r>
              <w:rPr>
                <w:rFonts w:ascii="仿宋_GB2312" w:hAnsi="仿宋_GB2312" w:cs="仿宋_GB2312" w:eastAsia="仿宋_GB2312"/>
              </w:rPr>
              <w:t>质量保证措施和管控机制</w:t>
            </w:r>
          </w:p>
        </w:tc>
        <w:tc>
          <w:tcPr>
            <w:tcW w:type="dxa" w:w="2492"/>
          </w:tcPr>
          <w:p>
            <w:pPr>
              <w:pStyle w:val="null3"/>
            </w:pPr>
            <w:r>
              <w:rPr>
                <w:rFonts w:ascii="仿宋_GB2312" w:hAnsi="仿宋_GB2312" w:cs="仿宋_GB2312" w:eastAsia="仿宋_GB2312"/>
              </w:rPr>
              <w:t>供应商针对本项目实施过程中，服务质量保证体系是否完整，质量保证措施是否合理，管控机制是否完善等等方面进行计分。 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8质量保证措施和管控机制.docx</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结合本项目要求，阐述服务时效及进度的保障措施，时间进度安排是否合理、可行计分。 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9进度保证方案.docx</w:t>
            </w:r>
          </w:p>
        </w:tc>
      </w:tr>
      <w:tr>
        <w:tc>
          <w:tcPr>
            <w:tcW w:type="dxa" w:w="831"/>
            <w:vMerge/>
          </w:tcPr>
          <w:p/>
        </w:tc>
        <w:tc>
          <w:tcPr>
            <w:tcW w:type="dxa" w:w="1661"/>
          </w:tcPr>
          <w:p>
            <w:pPr>
              <w:pStyle w:val="null3"/>
            </w:pPr>
            <w:r>
              <w:rPr>
                <w:rFonts w:ascii="仿宋_GB2312" w:hAnsi="仿宋_GB2312" w:cs="仿宋_GB2312" w:eastAsia="仿宋_GB2312"/>
              </w:rPr>
              <w:t>项目人员管理制度</w:t>
            </w:r>
          </w:p>
        </w:tc>
        <w:tc>
          <w:tcPr>
            <w:tcW w:type="dxa" w:w="2492"/>
          </w:tcPr>
          <w:p>
            <w:pPr>
              <w:pStyle w:val="null3"/>
            </w:pPr>
            <w:r>
              <w:rPr>
                <w:rFonts w:ascii="仿宋_GB2312" w:hAnsi="仿宋_GB2312" w:cs="仿宋_GB2312" w:eastAsia="仿宋_GB2312"/>
              </w:rPr>
              <w:t>针对本项目提出完善的管理制度，包括组织机构、项目架构、职责分工等方面。要求满足项目需求综合评定，架构合理，人员配置齐全、岗位分配合理。 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10项目人员管理制度.docx</w:t>
            </w:r>
          </w:p>
        </w:tc>
      </w:tr>
      <w:tr>
        <w:tc>
          <w:tcPr>
            <w:tcW w:type="dxa" w:w="831"/>
            <w:vMerge/>
          </w:tcPr>
          <w:p/>
        </w:tc>
        <w:tc>
          <w:tcPr>
            <w:tcW w:type="dxa" w:w="1661"/>
          </w:tcPr>
          <w:p>
            <w:pPr>
              <w:pStyle w:val="null3"/>
            </w:pPr>
            <w:r>
              <w:rPr>
                <w:rFonts w:ascii="仿宋_GB2312" w:hAnsi="仿宋_GB2312" w:cs="仿宋_GB2312" w:eastAsia="仿宋_GB2312"/>
              </w:rPr>
              <w:t>及时响应措施</w:t>
            </w:r>
          </w:p>
        </w:tc>
        <w:tc>
          <w:tcPr>
            <w:tcW w:type="dxa" w:w="2492"/>
          </w:tcPr>
          <w:p>
            <w:pPr>
              <w:pStyle w:val="null3"/>
            </w:pPr>
            <w:r>
              <w:rPr>
                <w:rFonts w:ascii="仿宋_GB2312" w:hAnsi="仿宋_GB2312" w:cs="仿宋_GB2312" w:eastAsia="仿宋_GB2312"/>
              </w:rPr>
              <w:t>结合项目特点，明确技术服务响应时间及保障措施、后期的技术支持等方面，响应迅速、考虑全面准确。 完全满足项目需求，无瑕疵：8分； 内容存在1处瑕疵：7分； 内容存在2处瑕疵：6分； 内容存在3处瑕疵：5分； 内容存在4处瑕疵：4分； 内容存在5处瑕疵：3分； 内容存在6处瑕疵：2分； 内容存在7处瑕疵：1分； 未提供内容或内容存在8处及以上瑕疵：0分。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11及时相应措施.docx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供应商须提供针对本项目的保密制度及措施，有完善的保密机制或具备保密能力的证明（可提供相关保密资格证书），确保信息数据不外泄。 完全满足项目需求，无瑕疵：5分； 内容存在1处瑕疵：4分； 内容存在2处瑕疵：3分； 内容存在3处瑕疵：2分； 内容存在4处瑕疵：1分； 未提供内容或内容存在5处及以上瑕疵：0分。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12保密措施.docx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①项目负责人具备与本项目相关专业高级及以上职称得2分，具备本项目相关专业中级职称得1分。未提供的不计分。 ②项目负责人每参加过1个同类项目得1分，满分3分。 未提供的不计分。 （以提供职称复印件及项目的证明材料为准）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13项目负责人.docx</w:t>
            </w:r>
          </w:p>
        </w:tc>
      </w:tr>
      <w:tr>
        <w:tc>
          <w:tcPr>
            <w:tcW w:type="dxa" w:w="831"/>
            <w:vMerge/>
          </w:tcPr>
          <w:p/>
        </w:tc>
        <w:tc>
          <w:tcPr>
            <w:tcW w:type="dxa" w:w="1661"/>
          </w:tcPr>
          <w:p>
            <w:pPr>
              <w:pStyle w:val="null3"/>
            </w:pPr>
            <w:r>
              <w:rPr>
                <w:rFonts w:ascii="仿宋_GB2312" w:hAnsi="仿宋_GB2312" w:cs="仿宋_GB2312" w:eastAsia="仿宋_GB2312"/>
              </w:rPr>
              <w:t>其他团队成员（不含项目负责人）</w:t>
            </w:r>
          </w:p>
        </w:tc>
        <w:tc>
          <w:tcPr>
            <w:tcW w:type="dxa" w:w="2492"/>
          </w:tcPr>
          <w:p>
            <w:pPr>
              <w:pStyle w:val="null3"/>
            </w:pPr>
            <w:r>
              <w:rPr>
                <w:rFonts w:ascii="仿宋_GB2312" w:hAnsi="仿宋_GB2312" w:cs="仿宋_GB2312" w:eastAsia="仿宋_GB2312"/>
              </w:rPr>
              <w:t>供应商针对本项目需求提供团队人员（不包含项目负责人）配备方案，至少包含各岗位投入人员数量、岗位职责、各岗位人员安排配置（明确人员清单、学历证明、资质证书和工作经验等）。 完全满足项目需求，无瑕疵：8分； 内容存在1处瑕疵：7分； 内容存在2处瑕疵：6分； 内容存在3处瑕疵：5分； 内容存在4处瑕疵：4分； 内容存在5处瑕疵：3分； 内容存在6处瑕疵：2分； 内容存在7处瑕疵：1分； 未提供内容或内容存在8处及以上瑕疵：0分。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14其他团队成员（不含项目负责人）.docx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提供供应商2022年1月1日至今同类项目业绩（提供合同或任务书或报告作关键页为证明材料，以合同签订日期为准），每提供1个得2分，最高得10分。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供应商根据本项目的服务内容，做出切实可行的服务承诺：①确保项目能按时按质完成，达到服务要求且能保证项目质量； ②若出现项目人员因事病等不能工作的，可及时请调其他项目人员补充，确保各项工作正常进行； ③承诺若因不可抗力因素，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 ④提出切实可行且有利于项目实施的其他服务承诺。 提供提供1条计1分，满分4分，不承诺不得分。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价格分统一采用低价优先法计算，即满足磋商文件要求且磋商价格最低的报价为评标基准价，其价格分为满分。其他供应商的价格分统一按照下列公式计算：价格分= (评标基准价／磋商报价)×报价分值。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详见附件：6政策背景理解.docx</w:t>
      </w:r>
    </w:p>
    <w:p>
      <w:pPr>
        <w:pStyle w:val="null3"/>
        <w:ind w:firstLine="960"/>
      </w:pPr>
      <w:r>
        <w:rPr>
          <w:rFonts w:ascii="仿宋_GB2312" w:hAnsi="仿宋_GB2312" w:cs="仿宋_GB2312" w:eastAsia="仿宋_GB2312"/>
        </w:rPr>
        <w:t>详见附件：7实施计划编制.docx</w:t>
      </w:r>
    </w:p>
    <w:p>
      <w:pPr>
        <w:pStyle w:val="null3"/>
        <w:ind w:firstLine="960"/>
      </w:pPr>
      <w:r>
        <w:rPr>
          <w:rFonts w:ascii="仿宋_GB2312" w:hAnsi="仿宋_GB2312" w:cs="仿宋_GB2312" w:eastAsia="仿宋_GB2312"/>
        </w:rPr>
        <w:t>详见附件：8质量保证措施和管控机制.docx</w:t>
      </w:r>
    </w:p>
    <w:p>
      <w:pPr>
        <w:pStyle w:val="null3"/>
        <w:ind w:firstLine="960"/>
      </w:pPr>
      <w:r>
        <w:rPr>
          <w:rFonts w:ascii="仿宋_GB2312" w:hAnsi="仿宋_GB2312" w:cs="仿宋_GB2312" w:eastAsia="仿宋_GB2312"/>
        </w:rPr>
        <w:t>详见附件：9进度保证方案.docx</w:t>
      </w:r>
    </w:p>
    <w:p>
      <w:pPr>
        <w:pStyle w:val="null3"/>
        <w:ind w:firstLine="960"/>
      </w:pPr>
      <w:r>
        <w:rPr>
          <w:rFonts w:ascii="仿宋_GB2312" w:hAnsi="仿宋_GB2312" w:cs="仿宋_GB2312" w:eastAsia="仿宋_GB2312"/>
        </w:rPr>
        <w:t>详见附件：10项目人员管理制度.docx</w:t>
      </w:r>
    </w:p>
    <w:p>
      <w:pPr>
        <w:pStyle w:val="null3"/>
        <w:ind w:firstLine="960"/>
      </w:pPr>
      <w:r>
        <w:rPr>
          <w:rFonts w:ascii="仿宋_GB2312" w:hAnsi="仿宋_GB2312" w:cs="仿宋_GB2312" w:eastAsia="仿宋_GB2312"/>
        </w:rPr>
        <w:t>详见附件：11及时相应措施.docx</w:t>
      </w:r>
    </w:p>
    <w:p>
      <w:pPr>
        <w:pStyle w:val="null3"/>
        <w:ind w:firstLine="960"/>
      </w:pPr>
      <w:r>
        <w:rPr>
          <w:rFonts w:ascii="仿宋_GB2312" w:hAnsi="仿宋_GB2312" w:cs="仿宋_GB2312" w:eastAsia="仿宋_GB2312"/>
        </w:rPr>
        <w:t>详见附件：12保密措施.docx</w:t>
      </w:r>
    </w:p>
    <w:p>
      <w:pPr>
        <w:pStyle w:val="null3"/>
        <w:ind w:firstLine="960"/>
      </w:pPr>
      <w:r>
        <w:rPr>
          <w:rFonts w:ascii="仿宋_GB2312" w:hAnsi="仿宋_GB2312" w:cs="仿宋_GB2312" w:eastAsia="仿宋_GB2312"/>
        </w:rPr>
        <w:t>详见附件：13项目负责人.docx</w:t>
      </w:r>
    </w:p>
    <w:p>
      <w:pPr>
        <w:pStyle w:val="null3"/>
        <w:ind w:firstLine="960"/>
      </w:pPr>
      <w:r>
        <w:rPr>
          <w:rFonts w:ascii="仿宋_GB2312" w:hAnsi="仿宋_GB2312" w:cs="仿宋_GB2312" w:eastAsia="仿宋_GB2312"/>
        </w:rPr>
        <w:t>详见附件：14其他团队成员（不含项目负责人）.docx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