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版本号：ZXGJ-ZB14-2025-04420250711001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2025年企业可持续发展(SCORE)推广项目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ZXGJ-ZB14-2025-044</w:t>
      </w:r>
      <w:r>
        <w:br/>
      </w:r>
      <w:r>
        <w:br/>
      </w:r>
      <w:r>
        <w:br/>
      </w:r>
    </w:p>
    <w:p>
      <w:pPr>
        <w:pStyle w:val="null3"/>
        <w:jc w:val="center"/>
        <w:outlineLvl w:val="2"/>
      </w:pPr>
      <w:r>
        <w:rPr>
          <w:rFonts w:ascii="仿宋_GB2312" w:hAnsi="仿宋_GB2312" w:cs="仿宋_GB2312" w:eastAsia="仿宋_GB2312"/>
          <w:sz w:val="28"/>
          <w:b/>
        </w:rPr>
        <w:t>陕西省应急管理厅</w:t>
      </w:r>
    </w:p>
    <w:p>
      <w:pPr>
        <w:pStyle w:val="null3"/>
        <w:jc w:val="center"/>
        <w:outlineLvl w:val="2"/>
      </w:pPr>
      <w:r>
        <w:rPr>
          <w:rFonts w:ascii="仿宋_GB2312" w:hAnsi="仿宋_GB2312" w:cs="仿宋_GB2312" w:eastAsia="仿宋_GB2312"/>
          <w:sz w:val="28"/>
          <w:b/>
        </w:rPr>
        <w:t>中昕国际项目管理有限公司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中昕国际项目管理有限公司</w:t>
      </w:r>
      <w:r>
        <w:rPr>
          <w:rFonts w:ascii="仿宋_GB2312" w:hAnsi="仿宋_GB2312" w:cs="仿宋_GB2312" w:eastAsia="仿宋_GB2312"/>
        </w:rPr>
        <w:t>（以下简称“代理机构”）受</w:t>
      </w:r>
      <w:r>
        <w:rPr>
          <w:rFonts w:ascii="仿宋_GB2312" w:hAnsi="仿宋_GB2312" w:cs="仿宋_GB2312" w:eastAsia="仿宋_GB2312"/>
        </w:rPr>
        <w:t>陕西省应急管理厅</w:t>
      </w:r>
      <w:r>
        <w:rPr>
          <w:rFonts w:ascii="仿宋_GB2312" w:hAnsi="仿宋_GB2312" w:cs="仿宋_GB2312" w:eastAsia="仿宋_GB2312"/>
        </w:rPr>
        <w:t>委托，拟对</w:t>
      </w:r>
      <w:r>
        <w:rPr>
          <w:rFonts w:ascii="仿宋_GB2312" w:hAnsi="仿宋_GB2312" w:cs="仿宋_GB2312" w:eastAsia="仿宋_GB2312"/>
        </w:rPr>
        <w:t>2025年企业可持续发展(SCORE)推广项目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ZXGJ-ZB14-2025-044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2025年企业可持续发展(SCORE)推广项目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2025年全省企业可持续发展（SCORE）推广项目，包括两项内容：举办全省项目推广活动、项目推广工作机制研究。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陕西省应急管理厅</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西安市未央区未央路208号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税永波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029-61166187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中昕国际项目管理有限公司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西安市未央区西安经济技术开发区凤城十二路首创禧悦里25幢A座16层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王超、王涛、白丹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029-81317379-606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以成交金额为基础，按差额定率累进法计算，采购代理服务费不足捌仟元按捌仟元收取。具体收费金额将在成交公告中公布。请将采购代理服务费汇至下列指定账户：开户名称：中昕国际项目管理有限公司；开户行：中国建设银行股份有限公司西安文景路支行；账号：61050178150000000278。注：此服务费应计入报价中，但不需要单独开列。</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陕西省应急管理厅</w:t>
      </w:r>
      <w:r>
        <w:rPr>
          <w:rFonts w:ascii="仿宋_GB2312" w:hAnsi="仿宋_GB2312" w:cs="仿宋_GB2312" w:eastAsia="仿宋_GB2312"/>
        </w:rPr>
        <w:t>和</w:t>
      </w:r>
      <w:r>
        <w:rPr>
          <w:rFonts w:ascii="仿宋_GB2312" w:hAnsi="仿宋_GB2312" w:cs="仿宋_GB2312" w:eastAsia="仿宋_GB2312"/>
        </w:rPr>
        <w:t>中昕国际项目管理有限公司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陕西省应急管理厅</w:t>
      </w:r>
      <w:r>
        <w:rPr>
          <w:rFonts w:ascii="仿宋_GB2312" w:hAnsi="仿宋_GB2312" w:cs="仿宋_GB2312" w:eastAsia="仿宋_GB2312"/>
        </w:rPr>
        <w:t>负责解释。除上述磋商文件内容，其他内容由</w:t>
      </w:r>
      <w:r>
        <w:rPr>
          <w:rFonts w:ascii="仿宋_GB2312" w:hAnsi="仿宋_GB2312" w:cs="仿宋_GB2312" w:eastAsia="仿宋_GB2312"/>
        </w:rPr>
        <w:t>中昕国际项目管理有限公司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陕西省应急管理厅</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中昕国际项目管理有限公司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按采购人要求完成项目服务内容及项目交付，并达到采购人验收要求，达到国家现行法律法规及行业要求合格标准。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联系人：王超、王涛、白丹</w:t>
      </w:r>
    </w:p>
    <w:p>
      <w:pPr>
        <w:pStyle w:val="null3"/>
      </w:pPr>
      <w:r>
        <w:rPr>
          <w:rFonts w:ascii="仿宋_GB2312" w:hAnsi="仿宋_GB2312" w:cs="仿宋_GB2312" w:eastAsia="仿宋_GB2312"/>
        </w:rPr>
        <w:t>联系电话：029-81317379-606</w:t>
      </w:r>
    </w:p>
    <w:p>
      <w:pPr>
        <w:pStyle w:val="null3"/>
      </w:pPr>
      <w:r>
        <w:rPr>
          <w:rFonts w:ascii="仿宋_GB2312" w:hAnsi="仿宋_GB2312" w:cs="仿宋_GB2312" w:eastAsia="仿宋_GB2312"/>
        </w:rPr>
        <w:t>地址：西安市未央区西安经济技术开发区凤城十二路首创禧悦里25幢A座16层</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2025年全省企业可持续发展（SCORE）推广项目，包括两项内容：举办全省项目推广活动、项目推广工作机制研究。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企业可持续发展（SCORE）项目推广</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标的名称：企业可持续发展（SCORE）项目推广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w:t>
            </w:r>
            <w:r>
              <w:rPr>
                <w:rFonts w:ascii="仿宋_GB2312" w:hAnsi="仿宋_GB2312" w:cs="仿宋_GB2312" w:eastAsia="仿宋_GB2312"/>
                <w:sz w:val="21"/>
                <w:b/>
              </w:rPr>
              <w:t>.项目概况</w:t>
            </w:r>
          </w:p>
          <w:p>
            <w:pPr>
              <w:pStyle w:val="null3"/>
              <w:ind w:firstLine="420"/>
              <w:jc w:val="both"/>
            </w:pPr>
            <w:r>
              <w:rPr>
                <w:rFonts w:ascii="仿宋_GB2312" w:hAnsi="仿宋_GB2312" w:cs="仿宋_GB2312" w:eastAsia="仿宋_GB2312"/>
                <w:sz w:val="21"/>
              </w:rPr>
              <w:t>2025年全省企业可持续发展（SCORE）推广项目，包括两项内容：举办全省项目推广活动、项目推广工作机制研究。</w:t>
            </w:r>
          </w:p>
          <w:p>
            <w:pPr>
              <w:pStyle w:val="null3"/>
              <w:ind w:firstLine="420"/>
              <w:jc w:val="both"/>
            </w:pPr>
            <w:r>
              <w:rPr>
                <w:rFonts w:ascii="仿宋_GB2312" w:hAnsi="仿宋_GB2312" w:cs="仿宋_GB2312" w:eastAsia="仿宋_GB2312"/>
                <w:sz w:val="21"/>
              </w:rPr>
              <w:t>本项目所属行业为其他未列明行业（从业人员</w:t>
            </w:r>
            <w:r>
              <w:rPr>
                <w:rFonts w:ascii="仿宋_GB2312" w:hAnsi="仿宋_GB2312" w:cs="仿宋_GB2312" w:eastAsia="仿宋_GB2312"/>
                <w:sz w:val="21"/>
              </w:rPr>
              <w:t>300人以下的为中小微型企业。其中，从业人员100人及以上的为中型企业；从业人员10人及以上的为小型企业；从业人员10人以下的为微型企业）。</w:t>
            </w:r>
          </w:p>
          <w:p>
            <w:pPr>
              <w:pStyle w:val="null3"/>
              <w:jc w:val="both"/>
            </w:pPr>
            <w:r>
              <w:rPr>
                <w:rFonts w:ascii="仿宋_GB2312" w:hAnsi="仿宋_GB2312" w:cs="仿宋_GB2312" w:eastAsia="仿宋_GB2312"/>
                <w:sz w:val="21"/>
                <w:b/>
              </w:rPr>
              <w:t>二</w:t>
            </w:r>
            <w:r>
              <w:rPr>
                <w:rFonts w:ascii="仿宋_GB2312" w:hAnsi="仿宋_GB2312" w:cs="仿宋_GB2312" w:eastAsia="仿宋_GB2312"/>
                <w:sz w:val="21"/>
                <w:b/>
              </w:rPr>
              <w:t>.服务内容与要求</w:t>
            </w:r>
          </w:p>
          <w:p>
            <w:pPr>
              <w:pStyle w:val="null3"/>
              <w:jc w:val="both"/>
            </w:pPr>
            <w:r>
              <w:rPr>
                <w:rFonts w:ascii="仿宋_GB2312" w:hAnsi="仿宋_GB2312" w:cs="仿宋_GB2312" w:eastAsia="仿宋_GB2312"/>
                <w:sz w:val="21"/>
              </w:rPr>
              <w:t>2.1服务内容</w:t>
            </w:r>
          </w:p>
          <w:p>
            <w:pPr>
              <w:pStyle w:val="null3"/>
              <w:ind w:firstLine="420"/>
              <w:jc w:val="both"/>
            </w:pPr>
            <w:r>
              <w:rPr>
                <w:rFonts w:ascii="仿宋_GB2312" w:hAnsi="仿宋_GB2312" w:cs="仿宋_GB2312" w:eastAsia="仿宋_GB2312"/>
                <w:sz w:val="21"/>
              </w:rPr>
              <w:t>1、举办全省项目推广活动。举行全省企业可持续发展（SCORE）项目推广活动，邀请先进试点单位代表分享项目经验做法，供应商集中宣讲活动，对全省应急管理部门监管人员代表、企业代表开展项目成果经验推介等活动，</w:t>
            </w:r>
          </w:p>
          <w:p>
            <w:pPr>
              <w:pStyle w:val="null3"/>
              <w:ind w:firstLine="420"/>
              <w:jc w:val="both"/>
            </w:pPr>
            <w:r>
              <w:rPr>
                <w:rFonts w:ascii="仿宋_GB2312" w:hAnsi="仿宋_GB2312" w:cs="仿宋_GB2312" w:eastAsia="仿宋_GB2312"/>
                <w:sz w:val="21"/>
              </w:rPr>
              <w:t>2、项目推广工作机制研究。</w:t>
            </w:r>
          </w:p>
          <w:p>
            <w:pPr>
              <w:pStyle w:val="null3"/>
              <w:ind w:firstLine="420"/>
              <w:jc w:val="both"/>
            </w:pPr>
            <w:r>
              <w:rPr>
                <w:rFonts w:ascii="仿宋_GB2312" w:hAnsi="仿宋_GB2312" w:cs="仿宋_GB2312" w:eastAsia="仿宋_GB2312"/>
                <w:sz w:val="21"/>
              </w:rPr>
              <w:t>①重点工作融合研究，组织开展企业可持续发展（SCORE）项目与企业安全标准化建设、双重预防机制建设、企业事故隐患内部报告奖励工作融合三项机制研究，聘请有关专业机构和专家开展调研督导和总结评审，形成企业可持续高质量发展安全管理长效机制成果；</w:t>
            </w:r>
          </w:p>
          <w:p>
            <w:pPr>
              <w:pStyle w:val="null3"/>
              <w:ind w:firstLine="420"/>
              <w:jc w:val="both"/>
            </w:pPr>
            <w:r>
              <w:rPr>
                <w:rFonts w:ascii="仿宋_GB2312" w:hAnsi="仿宋_GB2312" w:cs="仿宋_GB2312" w:eastAsia="仿宋_GB2312"/>
                <w:sz w:val="21"/>
              </w:rPr>
              <w:t>②政策激励研究，研究出台推广企业可持续发展（SCORE）项目与信用等级评定、安全生产责任险和工伤保险的费率下浮，安全生产检查与执法等有关激励政策，建立健全有关制度，加大项目推广力度政策支持。</w:t>
            </w:r>
          </w:p>
          <w:p>
            <w:pPr>
              <w:pStyle w:val="null3"/>
              <w:jc w:val="both"/>
            </w:pPr>
            <w:r>
              <w:rPr>
                <w:rFonts w:ascii="仿宋_GB2312" w:hAnsi="仿宋_GB2312" w:cs="仿宋_GB2312" w:eastAsia="仿宋_GB2312"/>
                <w:sz w:val="21"/>
              </w:rPr>
              <w:t>2.2服务、产品（如有）执行的标准、规范：</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1）国家标准、规范  /  ；</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2）行业标准、规范  /  ；</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3）地方标准、规范  /  ；</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4）团体标准、规范  /  ；</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5）企业标准、规范  /  。</w:t>
            </w:r>
          </w:p>
          <w:p>
            <w:pPr>
              <w:pStyle w:val="null3"/>
              <w:jc w:val="both"/>
            </w:pPr>
            <w:r>
              <w:rPr>
                <w:rFonts w:ascii="仿宋_GB2312" w:hAnsi="仿宋_GB2312" w:cs="仿宋_GB2312" w:eastAsia="仿宋_GB2312"/>
                <w:sz w:val="21"/>
              </w:rPr>
              <w:t>2.3本章2.2条款未明确服务（产品）执行标准、规范的，按下列方法进行选择：</w:t>
            </w:r>
          </w:p>
          <w:p>
            <w:pPr>
              <w:pStyle w:val="null3"/>
              <w:jc w:val="both"/>
            </w:pPr>
            <w:r>
              <w:rPr>
                <w:rFonts w:ascii="仿宋_GB2312" w:hAnsi="仿宋_GB2312" w:cs="仿宋_GB2312" w:eastAsia="仿宋_GB2312"/>
                <w:sz w:val="21"/>
              </w:rPr>
              <w:t>□ 顺序执行： 国家标准→行业标准→地方标准→ 团体标准→企业标准（有国家标准按国家标准执行，没有国家标 准按行业标准，以此类推）；</w:t>
            </w:r>
          </w:p>
          <w:p>
            <w:pPr>
              <w:pStyle w:val="null3"/>
              <w:jc w:val="both"/>
            </w:pPr>
            <w:r>
              <w:rPr>
                <w:rFonts w:ascii="仿宋_GB2312" w:hAnsi="仿宋_GB2312" w:cs="仿宋_GB2312" w:eastAsia="仿宋_GB2312"/>
                <w:sz w:val="21"/>
              </w:rPr>
              <w:t>□ 最高标准执行： 国家标准，行业标准，地方标准，团体标准，企业标准（哪个标准高执行哪个标准）</w:t>
            </w:r>
          </w:p>
          <w:p>
            <w:pPr>
              <w:pStyle w:val="null3"/>
              <w:spacing w:before="105" w:after="105"/>
              <w:jc w:val="both"/>
            </w:pPr>
            <w:r>
              <w:rPr>
                <w:rFonts w:ascii="仿宋_GB2312" w:hAnsi="仿宋_GB2312" w:cs="仿宋_GB2312" w:eastAsia="仿宋_GB2312"/>
                <w:sz w:val="21"/>
              </w:rPr>
              <w:t>√ 必须执行： 国家（行业）强制性标准。</w:t>
            </w:r>
          </w:p>
          <w:p>
            <w:pPr>
              <w:pStyle w:val="null3"/>
              <w:spacing w:before="105" w:after="105"/>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需满足项目服务内容及要求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需满足项目服务内容及要求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自合同签订之日起至2025年12月31日止，在此期间需完成所有相关服务</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按采购人要求完成项目服务内容及项目交付，并达到采购人验收要求，达到国家现行法律法规及行业要求合格标准。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一、成交供应商在领取成交通知书时提供纸质版响应文件2套，应通过专用制作软件直接打印，确保与电子投标文件保持 一致，不允许修改和补充。提交地点：西安市未央区西安经济技术开发区凤城十二路首创禧悦里25幢A座16层。二、供应商的报价是供应商响应本项目要求的全部工作内容的价格体现，包括供应商完成本项目所需的直接费、间接费、利润、税金及其他相关的一切费用。包括但不限于：人工费、设备费、管理费、验收费、采购代理服务费、利润和税金等全部费用。在提供服务的过程中的任何遗漏，均由成交供应商免费提供，采购人将不再支付任何费用。三、磋商有效期 1、出现特殊情况需要延长磋商有效期的，采购代理机构或采购人可于磋商有效期满之前，以书面形式通知所有供应商延长磋商有效期。供应商应予书面答复，同意延长的，应相应延长其磋商保证金有效期，但不得要求或被允许修改其响应文件；供应商拒绝延长的，其响应文件失效，递交磋商保证金的，供应商有权收回其磋商保证金。 2.在磋商有效期内，供应商撤销响应文件的，应承担磋商文件和法律规定的责任。 3.成交供应商的磋商有效期自动延长至合同终止为止。 四、合格供应商少于3家的处理 1.评审过程中，若出现合格供应商只有2家时，符合《政府采购竞争性磋商采购方式管理暂行办法》第3条第4项情形的，或者本项目为政府购买服务指导性目录中的，可以继续进行；只有1家时，采购人应依法重新组织采购活动。 2.评审过程中，除符合第1条规定情形外，若出现合格供应商少于3家时，采购人应依法重新组织采购活动。 五、分公司独立参与磋商时，不能使用总公司的资质或业绩；总公司单独参与磋商时，除总公司所投产品为分公司生产的产品外，不能使用分公司的资质或业绩。总公司授权分公司或分支机构参与磋商，可以使用总公司的资质或业绩。 六、恶意质疑、投诉的法律后果 1.对捏造事实、提供虚假材料进行质疑、投诉的行为将予以严肃处理： 《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 2.对捏造事实诬告陷害他人、诽谤他人的法律适用： （1）《中华人民共和国刑法》第243条【诬告陷害罪】捏造事实诬告陷害他人，意图使他人受刑事追究，情节严重的，处三年以下有期徒刑、拘役或者管制；造成严重后果的，处三年以上十年以下有期徒刑。 （2）《中华人民共和国刑法》第246条【侮辱罪、诽谤罪】以暴力或者其他方法公然侮辱他人或者捏造事实诽谤他人，情节严重的，处三年以下有期徒刑、拘役、管制或者剥夺政治权利。 七、签名是指手写签名或者加盖姓名章(含电子签名或电子印章)，盖章是指加盖单位印章。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（1）供应商的营业执照等证明文件，自然人的身份证明； (2) 法定代表人参加磋商的，提供本人身份证复印件；法定代表人授权他人参加磋商的，提供法定代表人委托授权书并出示被授权代表的身份证复印件； （3）供应商2024年6月至今已缴纳任意时段任意税种纳税凭证或税务机关开具的完税证明（个人所得税除外），依法免税的应提供相关文件证明； （4）供应商2024年6月至今已缴存的任意时段的社会保障资金缴存单据或社保机构开具的社会保险参保缴费情况证明，依法不需要缴纳社会保障资金的供应商应提供相关文件证明； （5）具有履行合同所必需的设备和专业技术能力的承诺；（6）参加本次采购前3年内，在经营活动中没有重大违法记录的书面声明。（7）供应商不得被列入“信用中国”网站(https://www.creditchina.gov.cn/ )“失信被执行人”（页面跳转至“中国执行信息公开网”http://zxgk.court.gov.cn/shixin/）、“重大税收违法失信主体”；不得处于中国政府采购网(http://www.ccgp.gov.cn/)“政府采购严重违法失信行为记录名单”中的禁止参加政府采购活动期间。 注：1、按照《中华人民共和国政府采购法》有关规定，采购代理机构依法对供应商的资格进行审查，并组建资格审查小组。 2、资格审查小组，由1名采购人代表和2名采购代理机构工作人员3人组成，采购代理机构项目经理担任资格审查小组组长。 3、资格审查小组成立后，全体小组成员应当在签到表中签到。</w:t>
            </w:r>
          </w:p>
        </w:tc>
        <w:tc>
          <w:tcPr>
            <w:tcW w:type="dxa" w:w="1661"/>
          </w:tcPr>
          <w:p>
            <w:pPr>
              <w:pStyle w:val="null3"/>
            </w:pPr>
            <w:r>
              <w:rPr>
                <w:rFonts w:ascii="仿宋_GB2312" w:hAnsi="仿宋_GB2312" w:cs="仿宋_GB2312" w:eastAsia="仿宋_GB2312"/>
              </w:rPr>
              <w:t>资格证明部分.docx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提供2023或2024年度经审计的财务会计报告或其提交响应文件截止时间前3个月内基本账户开户银行出具的资信证明。（以上形式的资料提供任何一种即可） 要求： （1）供应商是企业法人的，应提供2023或2024全年度经审计的供应商财务报告，包括 “四表一注”即《资产负债表》《利润表》《现金流量表》《所有者权益变动表》及其附注，或者提交响应文件截止时间前3个月内基本账户开户银行出具的资信证明（附基本存款账户信息）； （2）供应商是执行《小企业会计准则》的小微企业的，应提供2023或2024全年度经审计的供应商财务报告，至少包括 《资产负债表》《利润表》《现金流量表》及其附注，或者提交响应文件截止时间前3个月内基本账户开户银行出具的资信证明（附基本存款账户信息）； （3）供应商是执行《事业单位会计准则》的事业单位法人的，应提供2023或2024全年度经审计的供应商财务报告，至少包括《资产负债表》《收入支出表或者收入费用表》《财政补助收入支出表》及其附注，或者提交响应文件截止时间前3个月内基本账户开户银行出具的资信证明（附基本存款账户信息）； （4）部分其他组织和自然人，提供提交响应文件截止时间前3个月内基本账户开户银行出具的资信证明（附账户信息）； （5）供应商是民办非企业单位的，应提供2023或2024全年度经审计的供应商财务报告，包括《资产负债表》《业务活动表》《现金流量表》及其附注或者提交响应文件截止时间前3个月内基本账户开户银行出具的资信证明（附账户信息）； （6）供应商成立不到1年（至提交响应文件截止时间）的，提供成立后任意时段的资产负债表，或提交响应文件截止时间前3个月内基本账户开户银行出具的资信证明（附基本存款账户信息）。</w:t>
            </w:r>
          </w:p>
        </w:tc>
        <w:tc>
          <w:tcPr>
            <w:tcW w:type="dxa" w:w="1661"/>
          </w:tcPr>
          <w:p>
            <w:pPr>
              <w:pStyle w:val="null3"/>
            </w:pPr>
            <w:r>
              <w:rPr>
                <w:rFonts w:ascii="仿宋_GB2312" w:hAnsi="仿宋_GB2312" w:cs="仿宋_GB2312" w:eastAsia="仿宋_GB2312"/>
              </w:rPr>
              <w:t>资格证明部分.docx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资格证明部分.docx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商务技术部分.docx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响应文件上法定代表人（单位负责人）或其委托代理人的签名齐全并加盖单位章。</w:t>
            </w:r>
          </w:p>
        </w:tc>
        <w:tc>
          <w:tcPr>
            <w:tcW w:type="dxa" w:w="1661"/>
          </w:tcPr>
          <w:p>
            <w:pPr>
              <w:pStyle w:val="null3"/>
            </w:pPr>
            <w:r>
              <w:rPr>
                <w:rFonts w:ascii="仿宋_GB2312" w:hAnsi="仿宋_GB2312" w:cs="仿宋_GB2312" w:eastAsia="仿宋_GB2312"/>
              </w:rPr>
              <w:t>响应文件封面 资格证明部分.docx 中小企业声明函 残疾人福利性单位声明函 标的清单 报价表 响应函 商务技术部分.docx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应符合“响应文件格式”要求（不得因文件排序等非实质性的格式、形式问题限制和影响供应商响应)。</w:t>
            </w:r>
          </w:p>
        </w:tc>
        <w:tc>
          <w:tcPr>
            <w:tcW w:type="dxa" w:w="1661"/>
          </w:tcPr>
          <w:p>
            <w:pPr>
              <w:pStyle w:val="null3"/>
            </w:pPr>
            <w:r>
              <w:rPr>
                <w:rFonts w:ascii="仿宋_GB2312" w:hAnsi="仿宋_GB2312" w:cs="仿宋_GB2312" w:eastAsia="仿宋_GB2312"/>
              </w:rPr>
              <w:t>响应文件封面 资格证明部分.docx 中小企业声明函 残疾人福利性单位声明函 标的清单 报价表 响应函 商务技术部分.docx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只能有一个有效报价，不得提交选择性报价，且报价不超过第二章“供应商须知”前附表规定的采购预算金额或最高限价。</w:t>
            </w:r>
          </w:p>
        </w:tc>
        <w:tc>
          <w:tcPr>
            <w:tcW w:type="dxa" w:w="1661"/>
          </w:tcPr>
          <w:p>
            <w:pPr>
              <w:pStyle w:val="null3"/>
            </w:pPr>
            <w:r>
              <w:rPr>
                <w:rFonts w:ascii="仿宋_GB2312" w:hAnsi="仿宋_GB2312" w:cs="仿宋_GB2312" w:eastAsia="仿宋_GB2312"/>
              </w:rPr>
              <w:t>响应文件封面 标的清单 报价表 商务技术部分.docx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不存在恶意串通的情形</w:t>
            </w:r>
          </w:p>
        </w:tc>
        <w:tc>
          <w:tcPr>
            <w:tcW w:type="dxa" w:w="3322"/>
          </w:tcPr>
          <w:p>
            <w:pPr>
              <w:pStyle w:val="null3"/>
            </w:pPr>
            <w:r>
              <w:rPr>
                <w:rFonts w:ascii="仿宋_GB2312" w:hAnsi="仿宋_GB2312" w:cs="仿宋_GB2312" w:eastAsia="仿宋_GB2312"/>
              </w:rPr>
              <w:t>不存在以下情形： （1）不同供应商的响应文件由同一单位或者个人编制； （2）不同供应商委托同一单位或者个人办理磋商事宜； （3）不同供应商的响应文件载明的项目管理成员或者联系人员为同一人； （4）不同供应商的响应文件异常一致或者响应报价呈规律性差异； （5）不同供应商的响应文件相互混装。</w:t>
            </w:r>
          </w:p>
        </w:tc>
        <w:tc>
          <w:tcPr>
            <w:tcW w:type="dxa" w:w="1661"/>
          </w:tcPr>
          <w:p>
            <w:pPr>
              <w:pStyle w:val="null3"/>
            </w:pPr>
            <w:r>
              <w:rPr>
                <w:rFonts w:ascii="仿宋_GB2312" w:hAnsi="仿宋_GB2312" w:cs="仿宋_GB2312" w:eastAsia="仿宋_GB2312"/>
              </w:rPr>
              <w:t>资格证明部分.docx 商务技术部分.docx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应符合磋商文件中的规定</w:t>
            </w:r>
          </w:p>
        </w:tc>
        <w:tc>
          <w:tcPr>
            <w:tcW w:type="dxa" w:w="1661"/>
          </w:tcPr>
          <w:p>
            <w:pPr>
              <w:pStyle w:val="null3"/>
            </w:pPr>
            <w:r>
              <w:rPr>
                <w:rFonts w:ascii="仿宋_GB2312" w:hAnsi="仿宋_GB2312" w:cs="仿宋_GB2312" w:eastAsia="仿宋_GB2312"/>
              </w:rPr>
              <w:t>标的清单 报价表 商务技术部分.docx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需求理解</w:t>
            </w:r>
          </w:p>
        </w:tc>
        <w:tc>
          <w:tcPr>
            <w:tcW w:type="dxa" w:w="2492"/>
          </w:tcPr>
          <w:p>
            <w:pPr>
              <w:pStyle w:val="null3"/>
            </w:pPr>
            <w:r>
              <w:rPr>
                <w:rFonts w:ascii="仿宋_GB2312" w:hAnsi="仿宋_GB2312" w:cs="仿宋_GB2312" w:eastAsia="仿宋_GB2312"/>
              </w:rPr>
              <w:t>供应商对企业可持续发展（SCORE）推广项目的背景、目标、意义等具备充分的认识。①对本项目的总体认识定位准确，需求理解深刻，表述清晰得12分；②对本项目的总体认识定位较准确，需求较清晰得9分；③对本项目的总体认识定位基本准确，需求基本理解项目，表述一般6分；④总体认识定位不准确，需求表述不清晰，但内容均围绕项目展开得4分；⑤提供了需求理解分析，但内容简单，与项目关联度不大得2分；⑥此项未提供者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推广方案</w:t>
            </w:r>
          </w:p>
        </w:tc>
        <w:tc>
          <w:tcPr>
            <w:tcW w:type="dxa" w:w="2492"/>
          </w:tcPr>
          <w:p>
            <w:pPr>
              <w:pStyle w:val="null3"/>
            </w:pPr>
            <w:r>
              <w:rPr>
                <w:rFonts w:ascii="仿宋_GB2312" w:hAnsi="仿宋_GB2312" w:cs="仿宋_GB2312" w:eastAsia="仿宋_GB2312"/>
              </w:rPr>
              <w:t>对本项目提供科学、可行的推广活动方案，方案至少包含：推广地点场地布置、人员组织实施、宣讲、会务保障等满足项目实施要求。 ①方案完整全面、科学合理、可操作性强，完全满足采购人需求得13分；②方案全面，可操作性较强，基本满足采购人需求得9分；③方案基本完善，可操作性一般得6分；四方案简单，内容空泛得4分；⑤方案内容有缺漏，不能满足采购人需求得2分；⑥此项未提供者不计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进度控制方案</w:t>
            </w:r>
          </w:p>
        </w:tc>
        <w:tc>
          <w:tcPr>
            <w:tcW w:type="dxa" w:w="2492"/>
          </w:tcPr>
          <w:p>
            <w:pPr>
              <w:pStyle w:val="null3"/>
            </w:pPr>
            <w:r>
              <w:rPr>
                <w:rFonts w:ascii="仿宋_GB2312" w:hAnsi="仿宋_GB2312" w:cs="仿宋_GB2312" w:eastAsia="仿宋_GB2312"/>
              </w:rPr>
              <w:t>提供针对本项目的工作进度控制方案，包括但不限于：全过程工作计划、时间节点安排、保证措施等。①方案条理清晰，进度合理，措施完善可行性强，完全能够确保服务时限得8分；②方案条理较清晰，进度安排较合理，措施有一定可行性，基本能够确保服务时限得6分；③方案有一定针对性，进度安排无具体节点规划，无法确保服务期限得4分；④方案内容简单笼统，无针对性得2分；⑤此项未提供者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质量控制方案</w:t>
            </w:r>
          </w:p>
        </w:tc>
        <w:tc>
          <w:tcPr>
            <w:tcW w:type="dxa" w:w="2492"/>
          </w:tcPr>
          <w:p>
            <w:pPr>
              <w:pStyle w:val="null3"/>
            </w:pPr>
            <w:r>
              <w:rPr>
                <w:rFonts w:ascii="仿宋_GB2312" w:hAnsi="仿宋_GB2312" w:cs="仿宋_GB2312" w:eastAsia="仿宋_GB2312"/>
              </w:rPr>
              <w:t>提供针对本项目的工作质量控制方案。①方案结合本项目实际情况、组织合理高效，完全能够确保成果质量并进行提升得8分；②方案结合本项目实际情况、有一定组织性，基本能够确保成果质量并进行提升得6分； ③方案有一定针对性，但欠缺项目组织，内容简单，无法确保成果质量得4分； ④方案内容简单笼统，无针对性得2分；⑤此项未提供者不计分。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本项目的服务内容，做出切实可行的服务承诺，确保项目能按时按质完成。①承诺内容清晰性、承诺指标明确性，后续服务具有可延续性得8分；②承诺基本完善，可操作性一般得6分；③服务承诺简单，基本满足采购人要求得4分；④承诺较差，不全面得2分；⑤此项未提供者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应急预案措施</w:t>
            </w:r>
          </w:p>
        </w:tc>
        <w:tc>
          <w:tcPr>
            <w:tcW w:type="dxa" w:w="2492"/>
          </w:tcPr>
          <w:p>
            <w:pPr>
              <w:pStyle w:val="null3"/>
            </w:pPr>
            <w:r>
              <w:rPr>
                <w:rFonts w:ascii="仿宋_GB2312" w:hAnsi="仿宋_GB2312" w:cs="仿宋_GB2312" w:eastAsia="仿宋_GB2312"/>
              </w:rPr>
              <w:t>针对项目实施过程中可能出现的突发事件提供应急预案。应急预案全面，处理保障措施完善，有明确的应急机制，应急响应时间合理、人员保证充分，设施设备调配科学，处置方案有针对性。①应急预案全面详细、可操作性和针对性强得8分；②应急预案较为全面和可操作性、针对性较强得6分；③应急预案基本全面和可操作性、针对性得4分；④内容简单笼统，无针对性得2分；⑤此项未提供者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供应商具有完善的保密制度、保密措施和保密承诺。①内容全面详细、可操作性和针对性强得8分；②内容较为全面和可操作性、针对性较强得6分；③内容基本全面和可操作性、针对性得4分；④内容简单笼统，无针对性得2分；⑤此项未提供者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重点、难点分析与解决措施</w:t>
            </w:r>
          </w:p>
        </w:tc>
        <w:tc>
          <w:tcPr>
            <w:tcW w:type="dxa" w:w="2492"/>
          </w:tcPr>
          <w:p>
            <w:pPr>
              <w:pStyle w:val="null3"/>
            </w:pPr>
            <w:r>
              <w:rPr>
                <w:rFonts w:ascii="仿宋_GB2312" w:hAnsi="仿宋_GB2312" w:cs="仿宋_GB2312" w:eastAsia="仿宋_GB2312"/>
              </w:rPr>
              <w:t>提供针对本次项目的重难点把握及解决措施，包括但不限于：重难点分析、风险点分析、解决措施等。①重难点及风险点把握准确，分析清楚，对策措施针对性、可行性强得8分； ②重难点及风险点把握较准确、有一定针对性，对策措施针对性较强，基本可行得6分； ③重难点及风险点把握有一定的准确性，对策措施有一定针对性、可行性得4分；④重难点分析不到位，对策措施存在偏差，针对性不强得2分；⑤此项未提供者不计分。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拟投入的团队人员方案</w:t>
            </w:r>
          </w:p>
        </w:tc>
        <w:tc>
          <w:tcPr>
            <w:tcW w:type="dxa" w:w="2492"/>
          </w:tcPr>
          <w:p>
            <w:pPr>
              <w:pStyle w:val="null3"/>
            </w:pPr>
            <w:r>
              <w:rPr>
                <w:rFonts w:ascii="仿宋_GB2312" w:hAnsi="仿宋_GB2312" w:cs="仿宋_GB2312" w:eastAsia="仿宋_GB2312"/>
              </w:rPr>
              <w:t>针对本项目提供拟投入的团队人员方案，组织机构设置合理，管理人员及技术人员配备数量充足、人员职责明确、分工清晰合理、相关项目实施经验丰富，满足项目实施要求。 ①人员配备完善合理、工作经验丰富得7分；②人员配备分工较明确，工作经验丰富一般得4分；③人员配备分工不明确，工作经验丰富较差得2分；④此项未提供者不计分。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提供2022年1月1日至今同类项目业绩，每个业绩计 2 分，满分 10 分。（业绩资料提供合同复印件，复印件加盖公章。以合同签订日期为准。）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供应商的价格分，按照财政部财库〔2014〕214号文件第二十四条和 财库〔2020〕46号文件的规定，采用低价优先法计算，以本次满足磋商文件要求的最低磋商评审价为磋商基准价，其磋商报价为满分。供应商的磋商报价得分，统一按照下列公式计算：①磋商评审价=磋商报价×（1-磋商报价扣除幅度） ②磋商报价得分=(评审基准价／磋商报价)×10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根据《政府采购促进中小企业发展管理办法》的相关规定，对小型和微型企业的价格给予10%的扣除，用扣除后的价格参与评审。（2）根据《财政部民政部中国残疾人联合会关于促进残疾人就业政府采购政策的通知》（财库[2017]141号）的规定，对符合条件的残疾人福利性单位产品的价格给予10%的扣除，用扣除后的价格参与评审。小型、微型企业和监狱企业级符合财政部、民政部、中国残疾人联合会关于促进残疾人就业政府采购政策的通知，以上政策同时具备的仅对其进行一次10%的价格扣除，不重复扣除。</w:t>
            </w:r>
          </w:p>
        </w:tc>
        <w:tc>
          <w:tcPr>
            <w:tcW w:type="dxa" w:w="1661"/>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详见附件：资格证明部分.docx</w:t>
      </w:r>
    </w:p>
    <w:p>
      <w:pPr>
        <w:pStyle w:val="null3"/>
        <w:ind w:firstLine="960"/>
      </w:pPr>
      <w:r>
        <w:rPr>
          <w:rFonts w:ascii="仿宋_GB2312" w:hAnsi="仿宋_GB2312" w:cs="仿宋_GB2312" w:eastAsia="仿宋_GB2312"/>
        </w:rPr>
        <w:t>详见附件：商务技术部分.docx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