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7"/>
        <w:keepNext w:val="0"/>
        <w:keepLines w:val="0"/>
        <w:pageBreakBefore w:val="0"/>
        <w:kinsoku/>
        <w:wordWrap/>
        <w:overflowPunct/>
        <w:topLinePunct w:val="0"/>
        <w:autoSpaceDE/>
        <w:autoSpaceDN/>
        <w:bidi w:val="0"/>
        <w:snapToGrid/>
        <w:spacing w:line="440" w:lineRule="exact"/>
        <w:jc w:val="center"/>
        <w:outlineLvl w:val="1"/>
        <w:rPr>
          <w:rFonts w:hint="eastAsia" w:ascii="宋体" w:hAnsi="宋体" w:eastAsia="宋体" w:cs="宋体"/>
          <w:sz w:val="32"/>
          <w:szCs w:val="32"/>
        </w:rPr>
      </w:pPr>
      <w:r>
        <w:rPr>
          <w:rFonts w:hint="eastAsia" w:ascii="宋体" w:hAnsi="宋体" w:eastAsia="宋体" w:cs="宋体"/>
          <w:b/>
          <w:sz w:val="32"/>
          <w:szCs w:val="32"/>
        </w:rPr>
        <w:t>拟签订采购合同文本</w:t>
      </w:r>
    </w:p>
    <w:p w14:paraId="6920C532">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 xml:space="preserve">合同编号： </w:t>
      </w:r>
    </w:p>
    <w:p w14:paraId="7CD0DB0B">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 xml:space="preserve">签订地点： </w:t>
      </w:r>
    </w:p>
    <w:p w14:paraId="1DB7F74D">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 xml:space="preserve">签订时间: </w:t>
      </w:r>
    </w:p>
    <w:p w14:paraId="0567940F">
      <w:pPr>
        <w:pStyle w:val="19"/>
        <w:keepNext w:val="0"/>
        <w:keepLines w:val="0"/>
        <w:pageBreakBefore w:val="0"/>
        <w:kinsoku/>
        <w:wordWrap/>
        <w:overflowPunct/>
        <w:topLinePunct w:val="0"/>
        <w:autoSpaceDE/>
        <w:autoSpaceDN/>
        <w:bidi w:val="0"/>
        <w:snapToGrid/>
        <w:spacing w:line="440" w:lineRule="exact"/>
        <w:ind w:firstLine="439" w:firstLineChars="183"/>
        <w:rPr>
          <w:rFonts w:hint="eastAsia" w:ascii="宋体" w:hAnsi="宋体" w:eastAsia="宋体" w:cs="宋体"/>
          <w:sz w:val="24"/>
          <w:szCs w:val="24"/>
          <w:lang w:val="en-US" w:eastAsia="zh-CN"/>
        </w:rPr>
      </w:pPr>
      <w:r>
        <w:rPr>
          <w:rFonts w:hint="eastAsia" w:ascii="宋体" w:hAnsi="宋体" w:eastAsia="宋体" w:cs="宋体"/>
          <w:sz w:val="24"/>
          <w:szCs w:val="24"/>
        </w:rPr>
        <w:t>是否为专门面向中小企业的采购项目：</w:t>
      </w:r>
      <w:r>
        <w:rPr>
          <w:rFonts w:hint="eastAsia" w:ascii="宋体" w:hAnsi="宋体" w:cs="宋体"/>
          <w:sz w:val="24"/>
          <w:szCs w:val="24"/>
          <w:lang w:val="en-US" w:eastAsia="zh-CN"/>
        </w:rPr>
        <w:t>否</w:t>
      </w:r>
    </w:p>
    <w:p w14:paraId="6BFD5609">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采购人（甲方）：</w:t>
      </w:r>
    </w:p>
    <w:p w14:paraId="660EF41F">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sz w:val="24"/>
          <w:szCs w:val="24"/>
        </w:rPr>
      </w:pPr>
      <w:r>
        <w:rPr>
          <w:rFonts w:hint="eastAsia" w:ascii="宋体" w:hAnsi="宋体" w:eastAsia="宋体" w:cs="宋体"/>
          <w:sz w:val="24"/>
          <w:szCs w:val="24"/>
        </w:rPr>
        <w:t>供应商（乙方）：</w:t>
      </w:r>
    </w:p>
    <w:p w14:paraId="2E64B5C2">
      <w:pPr>
        <w:pStyle w:val="8"/>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w:t>
      </w:r>
      <w:r>
        <w:rPr>
          <w:rFonts w:hint="eastAsia" w:ascii="宋体" w:hAnsi="宋体" w:cs="宋体"/>
          <w:color w:val="000000"/>
          <w:sz w:val="24"/>
          <w:szCs w:val="24"/>
          <w:lang w:eastAsia="zh-CN"/>
        </w:rPr>
        <w:t>陕西省应急管理厅</w:t>
      </w:r>
      <w:r>
        <w:rPr>
          <w:rFonts w:hint="eastAsia" w:ascii="宋体" w:hAnsi="宋体" w:eastAsia="宋体" w:cs="宋体"/>
          <w:sz w:val="24"/>
          <w:szCs w:val="24"/>
          <w:lang w:val="en-US" w:eastAsia="zh-CN"/>
        </w:rPr>
        <w:t>2025年全省企业可持续发展（SCORE）</w:t>
      </w:r>
      <w:r>
        <w:rPr>
          <w:rFonts w:hint="eastAsia" w:ascii="宋体" w:hAnsi="宋体" w:cs="宋体"/>
          <w:sz w:val="24"/>
          <w:szCs w:val="24"/>
          <w:lang w:val="en-US" w:eastAsia="zh-CN"/>
        </w:rPr>
        <w:t>推广项目</w:t>
      </w:r>
      <w:r>
        <w:rPr>
          <w:rFonts w:hint="eastAsia" w:ascii="宋体" w:hAnsi="宋体" w:eastAsia="宋体" w:cs="宋体"/>
          <w:sz w:val="24"/>
          <w:szCs w:val="24"/>
        </w:rPr>
        <w:t>（采购项目编号</w:t>
      </w:r>
      <w:r>
        <w:rPr>
          <w:rFonts w:hint="eastAsia" w:ascii="宋体" w:hAnsi="宋体" w:cs="宋体"/>
          <w:sz w:val="24"/>
          <w:szCs w:val="24"/>
          <w:lang w:eastAsia="zh-CN"/>
        </w:rPr>
        <w:t>：</w:t>
      </w:r>
      <w:r>
        <w:rPr>
          <w:rFonts w:hint="eastAsia" w:ascii="宋体" w:hAnsi="宋体" w:eastAsia="宋体" w:cs="宋体"/>
          <w:sz w:val="24"/>
          <w:szCs w:val="24"/>
        </w:rPr>
        <w:t>ZXGJ-ZB14-2025-04</w:t>
      </w:r>
      <w:r>
        <w:rPr>
          <w:rFonts w:hint="eastAsia" w:ascii="宋体" w:hAnsi="宋体" w:cs="宋体"/>
          <w:sz w:val="24"/>
          <w:szCs w:val="24"/>
          <w:lang w:val="en-US" w:eastAsia="zh-CN"/>
        </w:rPr>
        <w:t>4</w:t>
      </w:r>
      <w:r>
        <w:rPr>
          <w:rFonts w:hint="eastAsia" w:ascii="宋体" w:hAnsi="宋体" w:eastAsia="宋体" w:cs="宋体"/>
          <w:color w:val="000000"/>
          <w:sz w:val="24"/>
          <w:szCs w:val="24"/>
          <w:lang w:eastAsia="zh-CN"/>
        </w:rPr>
        <w:t>）</w:t>
      </w:r>
      <w:r>
        <w:rPr>
          <w:rFonts w:hint="eastAsia" w:ascii="宋体" w:hAnsi="宋体" w:eastAsia="宋体" w:cs="宋体"/>
          <w:sz w:val="24"/>
          <w:szCs w:val="24"/>
        </w:rPr>
        <w:t>的采购文件、响应文件等有关规定，为确保甲方采购项目的顺利实施，甲、乙双方在平等自愿原则下签订本合同，并共同遵守如下条款，其主要要求如下：</w:t>
      </w:r>
    </w:p>
    <w:p w14:paraId="5539F402">
      <w:pPr>
        <w:keepNext w:val="0"/>
        <w:keepLines w:val="0"/>
        <w:pageBreakBefore w:val="0"/>
        <w:widowControl/>
        <w:numPr>
          <w:ilvl w:val="0"/>
          <w:numId w:val="1"/>
        </w:numPr>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rPr>
      </w:pPr>
      <w:bookmarkStart w:id="0" w:name="_Toc11438"/>
      <w:r>
        <w:rPr>
          <w:rFonts w:hint="eastAsia" w:ascii="宋体" w:hAnsi="宋体" w:eastAsia="宋体" w:cs="宋体"/>
          <w:b/>
          <w:sz w:val="24"/>
          <w:szCs w:val="24"/>
        </w:rPr>
        <w:t xml:space="preserve"> 项目基本情况</w:t>
      </w:r>
      <w:bookmarkEnd w:id="0"/>
    </w:p>
    <w:p w14:paraId="1262EB64">
      <w:pPr>
        <w:pStyle w:val="8"/>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bookmarkStart w:id="1" w:name="_Toc24394"/>
      <w:r>
        <w:rPr>
          <w:rFonts w:hint="eastAsia" w:ascii="宋体" w:hAnsi="宋体" w:eastAsia="宋体" w:cs="宋体"/>
          <w:sz w:val="24"/>
          <w:szCs w:val="24"/>
          <w:lang w:val="en-US" w:eastAsia="zh-CN"/>
        </w:rPr>
        <w:t>2</w:t>
      </w:r>
      <w:r>
        <w:rPr>
          <w:rFonts w:hint="eastAsia" w:ascii="宋体" w:hAnsi="宋体" w:eastAsia="宋体" w:cs="宋体"/>
          <w:sz w:val="24"/>
          <w:szCs w:val="24"/>
        </w:rPr>
        <w:t>025年全省企业可持续发展（SCORE）</w:t>
      </w:r>
      <w:r>
        <w:rPr>
          <w:rFonts w:hint="eastAsia" w:ascii="宋体" w:hAnsi="宋体" w:eastAsia="宋体" w:cs="宋体"/>
          <w:sz w:val="24"/>
          <w:szCs w:val="24"/>
          <w:lang w:val="en-US" w:eastAsia="zh-CN"/>
        </w:rPr>
        <w:t>推广</w:t>
      </w:r>
      <w:r>
        <w:rPr>
          <w:rFonts w:hint="eastAsia" w:ascii="宋体" w:hAnsi="宋体" w:eastAsia="宋体" w:cs="宋体"/>
          <w:sz w:val="24"/>
          <w:szCs w:val="24"/>
        </w:rPr>
        <w:t>项目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包括两项内容：举办全省项目推广活动、项目推广工作机制研究</w:t>
      </w:r>
      <w:r>
        <w:rPr>
          <w:rFonts w:hint="eastAsia" w:ascii="宋体" w:hAnsi="宋体" w:cs="宋体"/>
          <w:sz w:val="24"/>
          <w:szCs w:val="24"/>
          <w:lang w:val="en-US" w:eastAsia="zh-CN"/>
        </w:rPr>
        <w:t>。</w:t>
      </w:r>
      <w:bookmarkStart w:id="66" w:name="_GoBack"/>
      <w:bookmarkEnd w:id="66"/>
    </w:p>
    <w:p w14:paraId="228D6D47">
      <w:pPr>
        <w:keepNext w:val="0"/>
        <w:keepLines w:val="0"/>
        <w:pageBreakBefore w:val="0"/>
        <w:widowControl/>
        <w:numPr>
          <w:ilvl w:val="0"/>
          <w:numId w:val="2"/>
        </w:numPr>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服务期限</w:t>
      </w:r>
      <w:bookmarkEnd w:id="1"/>
    </w:p>
    <w:p w14:paraId="07F5A312">
      <w:pPr>
        <w:keepNext w:val="0"/>
        <w:keepLines w:val="0"/>
        <w:pageBreakBefore w:val="0"/>
        <w:widowControl/>
        <w:numPr>
          <w:ilvl w:val="0"/>
          <w:numId w:val="0"/>
        </w:numPr>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u w:val="none"/>
          <w:lang w:val="en-US" w:eastAsia="zh-CN"/>
        </w:rPr>
      </w:pP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none"/>
          <w:lang w:val="en-US" w:eastAsia="zh-CN"/>
        </w:rPr>
        <w:t>。</w:t>
      </w:r>
    </w:p>
    <w:p w14:paraId="7206624C">
      <w:pPr>
        <w:keepNext w:val="0"/>
        <w:keepLines w:val="0"/>
        <w:pageBreakBefore w:val="0"/>
        <w:widowControl/>
        <w:tabs>
          <w:tab w:val="left" w:pos="387"/>
        </w:tabs>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rPr>
      </w:pPr>
      <w:bookmarkStart w:id="2" w:name="_Toc2407"/>
      <w:bookmarkStart w:id="3" w:name="_Toc185395249"/>
      <w:bookmarkStart w:id="4" w:name="_Toc232492928"/>
      <w:bookmarkStart w:id="5" w:name="_Toc247334841"/>
      <w:bookmarkStart w:id="6" w:name="_Toc211854449"/>
      <w:bookmarkStart w:id="7" w:name="_Toc212019594"/>
      <w:bookmarkStart w:id="8" w:name="_Toc237145406"/>
      <w:bookmarkStart w:id="9" w:name="_Toc286993786"/>
      <w:bookmarkStart w:id="10" w:name="_Toc211911348"/>
      <w:bookmarkStart w:id="11" w:name="_Toc283019214"/>
      <w:bookmarkStart w:id="12" w:name="_Toc225654644"/>
      <w:bookmarkStart w:id="13" w:name="_Toc239568418"/>
      <w:bookmarkStart w:id="14" w:name="_Toc241833903"/>
      <w:bookmarkStart w:id="15" w:name="_Toc251768862"/>
      <w:bookmarkStart w:id="16" w:name="_Toc282696226"/>
      <w:bookmarkStart w:id="17" w:name="_Toc238984975"/>
      <w:bookmarkStart w:id="18" w:name="_Toc239233914"/>
      <w:bookmarkStart w:id="19" w:name="_Toc225244852"/>
      <w:bookmarkStart w:id="20" w:name="_Toc225670751"/>
      <w:r>
        <w:rPr>
          <w:rFonts w:hint="eastAsia" w:ascii="宋体" w:hAnsi="宋体" w:eastAsia="宋体" w:cs="宋体"/>
          <w:b/>
          <w:sz w:val="24"/>
          <w:szCs w:val="24"/>
        </w:rPr>
        <w:t>第三条  服务</w:t>
      </w:r>
      <w:r>
        <w:rPr>
          <w:rFonts w:hint="eastAsia" w:ascii="宋体" w:hAnsi="宋体" w:cs="宋体"/>
          <w:b/>
          <w:sz w:val="24"/>
          <w:szCs w:val="24"/>
          <w:lang w:val="en-US" w:eastAsia="zh-CN"/>
        </w:rPr>
        <w:t>内容</w:t>
      </w:r>
      <w:r>
        <w:rPr>
          <w:rFonts w:hint="eastAsia" w:ascii="宋体" w:hAnsi="宋体" w:eastAsia="宋体" w:cs="宋体"/>
          <w:b/>
          <w:sz w:val="24"/>
          <w:szCs w:val="24"/>
        </w:rPr>
        <w:t>与质量标准</w:t>
      </w:r>
      <w:bookmarkEnd w:id="2"/>
    </w:p>
    <w:p w14:paraId="49992F2A">
      <w:pPr>
        <w:pStyle w:val="21"/>
        <w:keepNext w:val="0"/>
        <w:keepLines w:val="0"/>
        <w:pageBreakBefore w:val="0"/>
        <w:numPr>
          <w:ilvl w:val="0"/>
          <w:numId w:val="0"/>
        </w:numPr>
        <w:kinsoku/>
        <w:wordWrap/>
        <w:overflowPunct/>
        <w:topLinePunct w:val="0"/>
        <w:autoSpaceDE/>
        <w:autoSpaceDN/>
        <w:bidi w:val="0"/>
        <w:snapToGrid/>
        <w:spacing w:line="440" w:lineRule="exact"/>
        <w:ind w:leftChars="0" w:firstLine="482" w:firstLineChars="200"/>
        <w:jc w:val="both"/>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服务内容</w:t>
      </w:r>
      <w:r>
        <w:rPr>
          <w:rFonts w:hint="eastAsia" w:ascii="宋体" w:hAnsi="宋体" w:eastAsia="宋体" w:cs="宋体"/>
          <w:sz w:val="24"/>
          <w:szCs w:val="24"/>
          <w:lang w:val="en-US" w:eastAsia="zh-CN"/>
        </w:rPr>
        <w:t>：</w:t>
      </w:r>
      <w:r>
        <w:rPr>
          <w:rFonts w:hint="eastAsia" w:ascii="宋体" w:hAnsi="宋体" w:cs="宋体"/>
          <w:color w:val="000000"/>
          <w:sz w:val="24"/>
          <w:szCs w:val="24"/>
          <w:lang w:eastAsia="zh-CN"/>
        </w:rPr>
        <w:t>陕西省应急管理厅</w:t>
      </w:r>
      <w:r>
        <w:rPr>
          <w:rFonts w:hint="eastAsia" w:ascii="宋体" w:hAnsi="宋体" w:eastAsia="宋体" w:cs="宋体"/>
          <w:sz w:val="24"/>
          <w:szCs w:val="24"/>
          <w:lang w:val="en-US" w:eastAsia="zh-CN"/>
        </w:rPr>
        <w:t>2025年全省企业可持续发展（SCORE）</w:t>
      </w:r>
      <w:r>
        <w:rPr>
          <w:rFonts w:hint="eastAsia" w:ascii="宋体" w:hAnsi="宋体" w:cs="宋体"/>
          <w:sz w:val="24"/>
          <w:szCs w:val="24"/>
          <w:lang w:val="en-US" w:eastAsia="zh-CN"/>
        </w:rPr>
        <w:t>推广项目</w:t>
      </w:r>
      <w:r>
        <w:rPr>
          <w:rFonts w:hint="eastAsia" w:ascii="宋体" w:hAnsi="宋体" w:eastAsia="宋体" w:cs="宋体"/>
          <w:sz w:val="24"/>
          <w:szCs w:val="24"/>
          <w:lang w:val="en-US" w:eastAsia="zh-CN"/>
        </w:rPr>
        <w:t>。</w:t>
      </w:r>
    </w:p>
    <w:p w14:paraId="18FFABE4">
      <w:pPr>
        <w:keepNext w:val="0"/>
        <w:keepLines w:val="0"/>
        <w:pageBreakBefore w:val="0"/>
        <w:kinsoku/>
        <w:wordWrap/>
        <w:overflowPunct/>
        <w:topLinePunct w:val="0"/>
        <w:autoSpaceDE/>
        <w:autoSpaceDN/>
        <w:bidi w:val="0"/>
        <w:snapToGrid/>
        <w:spacing w:line="440" w:lineRule="exact"/>
        <w:ind w:firstLine="482" w:firstLineChars="200"/>
        <w:rPr>
          <w:rFonts w:hint="eastAsia" w:ascii="宋体" w:hAnsi="宋体" w:eastAsia="宋体" w:cs="宋体"/>
          <w:sz w:val="24"/>
          <w:szCs w:val="24"/>
          <w:lang w:eastAsia="zh-CN"/>
        </w:rPr>
      </w:pPr>
      <w:r>
        <w:rPr>
          <w:rFonts w:hint="eastAsia" w:ascii="宋体" w:hAnsi="宋体" w:cs="宋体"/>
          <w:b/>
          <w:bCs/>
          <w:sz w:val="24"/>
          <w:szCs w:val="24"/>
          <w:lang w:val="en-US" w:eastAsia="zh-CN"/>
        </w:rPr>
        <w:t>2、质量标准：</w:t>
      </w:r>
      <w:r>
        <w:rPr>
          <w:rFonts w:hint="eastAsia" w:ascii="宋体" w:hAnsi="宋体" w:eastAsia="宋体" w:cs="宋体"/>
          <w:sz w:val="24"/>
          <w:szCs w:val="24"/>
        </w:rPr>
        <w:t>整个项目应符合国家有关规范和标准</w:t>
      </w:r>
      <w:r>
        <w:rPr>
          <w:rFonts w:hint="eastAsia" w:ascii="宋体" w:hAnsi="宋体" w:eastAsia="宋体" w:cs="宋体"/>
          <w:sz w:val="24"/>
          <w:szCs w:val="24"/>
          <w:lang w:eastAsia="zh-CN"/>
        </w:rPr>
        <w:t>。</w:t>
      </w:r>
    </w:p>
    <w:p w14:paraId="35041741">
      <w:pPr>
        <w:keepNext w:val="0"/>
        <w:keepLines w:val="0"/>
        <w:pageBreakBefore w:val="0"/>
        <w:widowControl/>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sz w:val="24"/>
          <w:szCs w:val="24"/>
        </w:rPr>
      </w:pPr>
      <w:bookmarkStart w:id="21" w:name="_Toc20078"/>
      <w:r>
        <w:rPr>
          <w:rFonts w:hint="eastAsia" w:ascii="宋体" w:hAnsi="宋体" w:eastAsia="宋体" w:cs="宋体"/>
          <w:b/>
          <w:sz w:val="24"/>
          <w:szCs w:val="24"/>
        </w:rPr>
        <w:t>第四条  服务费用及支付方式</w:t>
      </w:r>
      <w:bookmarkEnd w:id="21"/>
    </w:p>
    <w:p w14:paraId="1EF11206">
      <w:pPr>
        <w:pStyle w:val="3"/>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1、服务费按下列比例支付价款</w:t>
      </w:r>
    </w:p>
    <w:p w14:paraId="63E66C96">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服务总费用为人民币（大写）：</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元，￥</w:t>
      </w:r>
      <w:r>
        <w:rPr>
          <w:rFonts w:hint="eastAsia" w:ascii="宋体" w:hAnsi="宋体" w:eastAsia="宋体" w:cs="宋体"/>
          <w:b w:val="0"/>
          <w:bCs w:val="0"/>
          <w:i w:val="0"/>
          <w:iCs w:val="0"/>
          <w:caps w:val="0"/>
          <w:spacing w:val="0"/>
          <w:sz w:val="24"/>
          <w:szCs w:val="24"/>
          <w:u w:val="single"/>
          <w:shd w:val="clear" w:color="auto" w:fill="FFFFFF"/>
        </w:rPr>
        <w:t xml:space="preserve"> </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w:t>
      </w:r>
    </w:p>
    <w:p w14:paraId="074FBA34">
      <w:pPr>
        <w:pStyle w:val="21"/>
        <w:keepNext w:val="0"/>
        <w:keepLines w:val="0"/>
        <w:pageBreakBefore w:val="0"/>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支付方式：</w:t>
      </w:r>
    </w:p>
    <w:p w14:paraId="6F3B1A99">
      <w:pPr>
        <w:pStyle w:val="21"/>
        <w:keepNext w:val="0"/>
        <w:keepLines w:val="0"/>
        <w:pageBreakBefore w:val="0"/>
        <w:numPr>
          <w:ilvl w:val="0"/>
          <w:numId w:val="0"/>
        </w:numPr>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（1）合同签订后</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达到付款条件起15日内，支付合同总金额的</w:t>
      </w:r>
      <w:r>
        <w:rPr>
          <w:rFonts w:hint="eastAsia" w:ascii="宋体" w:hAnsi="宋体" w:cs="宋体"/>
          <w:color w:val="auto"/>
          <w:kern w:val="0"/>
          <w:sz w:val="24"/>
          <w:szCs w:val="24"/>
          <w:lang w:val="en-US" w:eastAsia="zh-CN"/>
        </w:rPr>
        <w:t>80</w:t>
      </w:r>
      <w:r>
        <w:rPr>
          <w:rFonts w:hint="eastAsia" w:ascii="宋体" w:hAnsi="宋体" w:eastAsia="宋体" w:cs="宋体"/>
          <w:color w:val="auto"/>
          <w:kern w:val="0"/>
          <w:sz w:val="24"/>
          <w:szCs w:val="24"/>
          <w:lang w:val="en-US" w:eastAsia="zh-CN"/>
        </w:rPr>
        <w:t>.00%</w:t>
      </w:r>
      <w:r>
        <w:rPr>
          <w:rFonts w:hint="eastAsia" w:ascii="宋体" w:hAnsi="宋体" w:cs="宋体"/>
          <w:color w:val="auto"/>
          <w:kern w:val="0"/>
          <w:sz w:val="24"/>
          <w:szCs w:val="24"/>
          <w:lang w:val="en-US" w:eastAsia="zh-CN"/>
        </w:rPr>
        <w:t>；</w:t>
      </w:r>
    </w:p>
    <w:p w14:paraId="2BC17F0C">
      <w:pPr>
        <w:pStyle w:val="21"/>
        <w:keepNext w:val="0"/>
        <w:keepLines w:val="0"/>
        <w:pageBreakBefore w:val="0"/>
        <w:numPr>
          <w:ilvl w:val="0"/>
          <w:numId w:val="0"/>
        </w:numPr>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（3）项目验收合格后，达到付款条件起15日内，支付合同总金额的20.00%</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乙方须向甲方出具合法有效的完税发票，甲方进行支付结算。</w:t>
      </w:r>
    </w:p>
    <w:p w14:paraId="76508DC3">
      <w:pPr>
        <w:pStyle w:val="3"/>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结算方式：银行转账</w:t>
      </w:r>
    </w:p>
    <w:p w14:paraId="21CC4735">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乙方收款账户</w:t>
      </w:r>
    </w:p>
    <w:p w14:paraId="34AFEE63">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账户名称：                 </w:t>
      </w:r>
    </w:p>
    <w:p w14:paraId="4B1E0B7F">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w:t>
      </w:r>
    </w:p>
    <w:p w14:paraId="2D34CF16">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p w14:paraId="33C43B1B">
      <w:pPr>
        <w:keepNext w:val="0"/>
        <w:keepLines w:val="0"/>
        <w:pageBreakBefore w:val="0"/>
        <w:kinsoku/>
        <w:wordWrap/>
        <w:overflowPunct/>
        <w:topLinePunct w:val="0"/>
        <w:autoSpaceDE/>
        <w:autoSpaceDN/>
        <w:bidi w:val="0"/>
        <w:snapToGrid/>
        <w:spacing w:line="440" w:lineRule="exact"/>
        <w:ind w:firstLine="482" w:firstLineChars="200"/>
        <w:outlineLvl w:val="1"/>
        <w:rPr>
          <w:rFonts w:hint="eastAsia" w:ascii="宋体" w:hAnsi="宋体" w:eastAsia="宋体" w:cs="宋体"/>
          <w:b/>
          <w:color w:val="auto"/>
          <w:sz w:val="24"/>
          <w:szCs w:val="24"/>
        </w:rPr>
      </w:pPr>
      <w:bookmarkStart w:id="22" w:name="_Toc22959"/>
      <w:r>
        <w:rPr>
          <w:rFonts w:hint="eastAsia" w:ascii="宋体" w:hAnsi="宋体" w:eastAsia="宋体" w:cs="宋体"/>
          <w:b/>
          <w:color w:val="auto"/>
          <w:sz w:val="24"/>
          <w:szCs w:val="24"/>
        </w:rPr>
        <w:t>第五条  知识产权（若有）</w:t>
      </w:r>
      <w:bookmarkEnd w:id="22"/>
    </w:p>
    <w:p w14:paraId="2027956E">
      <w:pPr>
        <w:keepNext w:val="0"/>
        <w:keepLines w:val="0"/>
        <w:pageBreakBefore w:val="0"/>
        <w:tabs>
          <w:tab w:val="left" w:pos="1440"/>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napToGrid/>
        <w:spacing w:line="440" w:lineRule="exact"/>
        <w:ind w:firstLine="482" w:firstLineChars="200"/>
        <w:outlineLvl w:val="1"/>
        <w:rPr>
          <w:rFonts w:hint="eastAsia" w:ascii="宋体" w:hAnsi="宋体" w:eastAsia="宋体" w:cs="宋体"/>
          <w:b/>
          <w:color w:val="auto"/>
          <w:sz w:val="24"/>
          <w:szCs w:val="24"/>
        </w:rPr>
      </w:pPr>
      <w:bookmarkStart w:id="23" w:name="_Toc31647"/>
      <w:r>
        <w:rPr>
          <w:rFonts w:hint="eastAsia" w:ascii="宋体" w:hAnsi="宋体" w:eastAsia="宋体" w:cs="宋体"/>
          <w:b/>
          <w:color w:val="auto"/>
          <w:sz w:val="24"/>
          <w:szCs w:val="24"/>
        </w:rPr>
        <w:t>第六条  无产权瑕疵条款（如有）</w:t>
      </w:r>
      <w:bookmarkEnd w:id="23"/>
    </w:p>
    <w:p w14:paraId="25ABA474">
      <w:pPr>
        <w:keepNext w:val="0"/>
        <w:keepLines w:val="0"/>
        <w:pageBreakBefore w:val="0"/>
        <w:tabs>
          <w:tab w:val="left" w:pos="1440"/>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乙方保证所提供的服务的所有权完全属于乙方且无任何抵押、查封等产权瑕疵。如有产权瑕疵的，视为乙方违约。乙方应负担由此而产生的一切损失。</w:t>
      </w:r>
    </w:p>
    <w:p w14:paraId="7A20CF94">
      <w:pPr>
        <w:keepNext w:val="0"/>
        <w:keepLines w:val="0"/>
        <w:pageBreakBefore w:val="0"/>
        <w:widowControl/>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b/>
          <w:color w:val="auto"/>
          <w:sz w:val="24"/>
          <w:szCs w:val="24"/>
        </w:rPr>
      </w:pPr>
      <w:bookmarkStart w:id="24" w:name="_Toc4779"/>
      <w:r>
        <w:rPr>
          <w:rFonts w:hint="eastAsia" w:ascii="宋体" w:hAnsi="宋体" w:eastAsia="宋体" w:cs="宋体"/>
          <w:b/>
          <w:color w:val="auto"/>
          <w:sz w:val="24"/>
          <w:szCs w:val="24"/>
        </w:rPr>
        <w:t>第七条  履约保证金（如有）</w:t>
      </w:r>
      <w:bookmarkEnd w:id="24"/>
    </w:p>
    <w:p w14:paraId="13C5F0EE">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kern w:val="0"/>
          <w:sz w:val="24"/>
          <w:szCs w:val="24"/>
        </w:rPr>
        <w:t>1.乙方在签订本合同之前，向甲方构提交履约保证金人民币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27E33FB">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bCs/>
          <w:color w:val="auto"/>
          <w:sz w:val="24"/>
          <w:szCs w:val="24"/>
        </w:rPr>
        <w:t>2.</w:t>
      </w:r>
      <w:r>
        <w:rPr>
          <w:rFonts w:hint="eastAsia" w:ascii="宋体" w:hAnsi="宋体" w:eastAsia="宋体" w:cs="宋体"/>
          <w:color w:val="auto"/>
          <w:kern w:val="0"/>
          <w:sz w:val="24"/>
          <w:szCs w:val="24"/>
        </w:rPr>
        <w:t>履约保证金的有效期为乙方承诺的服务期限。</w:t>
      </w:r>
    </w:p>
    <w:p w14:paraId="3A34DEEE">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3.履约保证金作为违约金的一部分及用于补偿甲方因乙方不能履行合同义务而蒙受的损失。</w:t>
      </w:r>
    </w:p>
    <w:p w14:paraId="66390BE4">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sz w:val="24"/>
          <w:szCs w:val="24"/>
        </w:rPr>
        <w:t>服务期限结束后，甲方财务部门接到甲方确认本合同服务等约定事项已经履行完毕的正式书面文件后的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日内，向乙方退还履约保证金。</w:t>
      </w:r>
    </w:p>
    <w:p w14:paraId="132C8F78">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color w:val="auto"/>
          <w:sz w:val="24"/>
          <w:szCs w:val="24"/>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F33D5B">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color w:val="auto"/>
          <w:sz w:val="24"/>
          <w:szCs w:val="24"/>
        </w:rPr>
      </w:pPr>
      <w:bookmarkStart w:id="25" w:name="_Toc16162"/>
      <w:r>
        <w:rPr>
          <w:rFonts w:hint="eastAsia" w:ascii="宋体" w:hAnsi="宋体" w:eastAsia="宋体" w:cs="宋体"/>
          <w:b/>
          <w:color w:val="auto"/>
          <w:sz w:val="24"/>
          <w:szCs w:val="24"/>
        </w:rPr>
        <w:t>第八条  甲方的权利和义务</w:t>
      </w:r>
      <w:bookmarkEnd w:id="25"/>
    </w:p>
    <w:p w14:paraId="47861C3A">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3.根据本合同规定，按时向乙方支付应付服务费用。</w:t>
      </w:r>
    </w:p>
    <w:p w14:paraId="29CDC53C">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4.国家法律、法规所规定由甲方承担的其它责任。</w:t>
      </w:r>
    </w:p>
    <w:p w14:paraId="13DD6CDA">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color w:val="auto"/>
          <w:sz w:val="24"/>
          <w:szCs w:val="24"/>
        </w:rPr>
      </w:pPr>
      <w:bookmarkStart w:id="26" w:name="_Toc27740"/>
      <w:r>
        <w:rPr>
          <w:rFonts w:hint="eastAsia" w:ascii="宋体" w:hAnsi="宋体" w:eastAsia="宋体" w:cs="宋体"/>
          <w:b/>
          <w:color w:val="auto"/>
          <w:sz w:val="24"/>
          <w:szCs w:val="24"/>
        </w:rPr>
        <w:t>第九条  乙方的权利和义务</w:t>
      </w:r>
      <w:bookmarkEnd w:id="26"/>
    </w:p>
    <w:p w14:paraId="324921E0">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4.</w:t>
      </w:r>
      <w:r>
        <w:rPr>
          <w:rFonts w:hint="eastAsia" w:ascii="宋体" w:hAnsi="宋体" w:eastAsia="宋体" w:cs="宋体"/>
          <w:bCs/>
          <w:color w:val="auto"/>
          <w:sz w:val="24"/>
          <w:szCs w:val="24"/>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5.国家法律、法规所规定由乙方承担的其它责任。</w:t>
      </w:r>
    </w:p>
    <w:p w14:paraId="3CD13FB8">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color w:val="auto"/>
          <w:sz w:val="24"/>
          <w:szCs w:val="24"/>
        </w:rPr>
      </w:pPr>
      <w:bookmarkStart w:id="27" w:name="_Toc25988"/>
      <w:r>
        <w:rPr>
          <w:rFonts w:hint="eastAsia" w:ascii="宋体" w:hAnsi="宋体" w:eastAsia="宋体" w:cs="宋体"/>
          <w:b/>
          <w:color w:val="auto"/>
          <w:sz w:val="24"/>
          <w:szCs w:val="24"/>
        </w:rPr>
        <w:t>第十条  违约责任</w:t>
      </w:r>
      <w:bookmarkEnd w:id="27"/>
    </w:p>
    <w:p w14:paraId="592D9418">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napToGrid/>
        <w:spacing w:line="440" w:lineRule="exact"/>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sz w:val="24"/>
          <w:szCs w:val="24"/>
        </w:rPr>
      </w:pPr>
      <w:bookmarkStart w:id="28" w:name="_Toc26448"/>
      <w:r>
        <w:rPr>
          <w:rFonts w:hint="eastAsia" w:ascii="宋体" w:hAnsi="宋体" w:eastAsia="宋体" w:cs="宋体"/>
          <w:b/>
          <w:sz w:val="24"/>
          <w:szCs w:val="24"/>
        </w:rPr>
        <w:t>第十一条  不可抗力事件处理</w:t>
      </w:r>
      <w:bookmarkEnd w:id="28"/>
    </w:p>
    <w:p w14:paraId="23CADF6C">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bookmarkStart w:id="29" w:name="_Toc237145411"/>
      <w:bookmarkStart w:id="30" w:name="_Toc247334846"/>
      <w:bookmarkStart w:id="31" w:name="_Toc225654649"/>
      <w:bookmarkStart w:id="32" w:name="_Toc286993792"/>
      <w:bookmarkStart w:id="33" w:name="_Toc185395254"/>
      <w:bookmarkStart w:id="34" w:name="_Toc211854454"/>
      <w:bookmarkStart w:id="35" w:name="_Toc225244857"/>
      <w:bookmarkStart w:id="36" w:name="_Toc232492933"/>
      <w:bookmarkStart w:id="37" w:name="_Toc238984980"/>
      <w:bookmarkStart w:id="38" w:name="_Toc212019599"/>
      <w:bookmarkStart w:id="39" w:name="_Toc239568423"/>
      <w:bookmarkStart w:id="40" w:name="_Toc239233919"/>
      <w:bookmarkStart w:id="41" w:name="_Toc211911353"/>
      <w:bookmarkStart w:id="42" w:name="_Toc225670756"/>
      <w:bookmarkStart w:id="43" w:name="_Toc241833908"/>
      <w:bookmarkStart w:id="44" w:name="_Toc251768867"/>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天以上，双方应通过友好协商，确定是否继续履行合同。</w:t>
      </w:r>
    </w:p>
    <w:p w14:paraId="150CD1EA">
      <w:pPr>
        <w:keepNext w:val="0"/>
        <w:keepLines w:val="0"/>
        <w:pageBreakBefore w:val="0"/>
        <w:widowControl/>
        <w:kinsoku/>
        <w:wordWrap/>
        <w:overflowPunct/>
        <w:topLinePunct w:val="0"/>
        <w:autoSpaceDE/>
        <w:autoSpaceDN/>
        <w:bidi w:val="0"/>
        <w:snapToGrid/>
        <w:spacing w:line="440" w:lineRule="exact"/>
        <w:ind w:firstLine="482" w:firstLineChars="200"/>
        <w:jc w:val="left"/>
        <w:outlineLvl w:val="1"/>
        <w:rPr>
          <w:rFonts w:hint="eastAsia" w:ascii="宋体" w:hAnsi="宋体" w:eastAsia="宋体" w:cs="宋体"/>
          <w:kern w:val="0"/>
          <w:sz w:val="24"/>
          <w:szCs w:val="24"/>
        </w:rPr>
      </w:pPr>
      <w:bookmarkStart w:id="45" w:name="_Toc20448"/>
      <w:r>
        <w:rPr>
          <w:rFonts w:hint="eastAsia" w:ascii="宋体" w:hAnsi="宋体" w:eastAsia="宋体" w:cs="宋体"/>
          <w:b/>
          <w:sz w:val="24"/>
          <w:szCs w:val="24"/>
        </w:rPr>
        <w:t xml:space="preserve">第十二条  </w:t>
      </w:r>
      <w:r>
        <w:rPr>
          <w:rFonts w:hint="eastAsia" w:ascii="宋体" w:hAnsi="宋体" w:eastAsia="宋体" w:cs="宋体"/>
          <w:b/>
          <w:kern w:val="0"/>
          <w:sz w:val="24"/>
          <w:szCs w:val="24"/>
        </w:rPr>
        <w:t>合同的变更和终止</w:t>
      </w:r>
      <w:bookmarkEnd w:id="45"/>
    </w:p>
    <w:p w14:paraId="1E9E9017">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除《中华人民共和国政府采购法》第49条、第50条第二款规定的情形外，本合同一经签订，甲乙双方不得擅自变更、中止或终止合同。</w:t>
      </w:r>
    </w:p>
    <w:p w14:paraId="7EBC3E92">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sz w:val="24"/>
          <w:szCs w:val="24"/>
        </w:rPr>
      </w:pPr>
      <w:bookmarkStart w:id="46" w:name="_Toc32004"/>
      <w:r>
        <w:rPr>
          <w:rFonts w:hint="eastAsia" w:ascii="宋体" w:hAnsi="宋体" w:eastAsia="宋体" w:cs="宋体"/>
          <w:b/>
          <w:sz w:val="24"/>
          <w:szCs w:val="24"/>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FF98BD5">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w:t>
      </w:r>
      <w:r>
        <w:rPr>
          <w:rFonts w:hint="eastAsia" w:ascii="宋体" w:hAnsi="宋体" w:eastAsia="宋体" w:cs="宋体"/>
          <w:kern w:val="0"/>
          <w:sz w:val="24"/>
          <w:szCs w:val="24"/>
          <w:u w:val="single"/>
        </w:rPr>
        <w:t xml:space="preserve"> 1 </w:t>
      </w:r>
      <w:r>
        <w:rPr>
          <w:rFonts w:hint="eastAsia" w:ascii="宋体" w:hAnsi="宋体" w:eastAsia="宋体" w:cs="宋体"/>
          <w:kern w:val="0"/>
          <w:sz w:val="24"/>
          <w:szCs w:val="24"/>
        </w:rPr>
        <w:t>种方式解决争议：</w:t>
      </w:r>
    </w:p>
    <w:p w14:paraId="61CCA1D4">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6D3044D5">
      <w:pPr>
        <w:pStyle w:val="19"/>
        <w:keepNext w:val="0"/>
        <w:keepLines w:val="0"/>
        <w:pageBreakBefore w:val="0"/>
        <w:kinsoku/>
        <w:wordWrap/>
        <w:overflowPunct/>
        <w:topLinePunct w:val="0"/>
        <w:autoSpaceDE/>
        <w:autoSpaceDN/>
        <w:bidi w:val="0"/>
        <w:snapToGrid/>
        <w:spacing w:line="440" w:lineRule="exact"/>
        <w:ind w:firstLine="420"/>
        <w:rPr>
          <w:rFonts w:hint="eastAsia"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仲裁委员会按其仲裁规则申请仲裁。</w:t>
      </w:r>
    </w:p>
    <w:p w14:paraId="178763C4">
      <w:pPr>
        <w:keepNext w:val="0"/>
        <w:keepLines w:val="0"/>
        <w:pageBreakBefore w:val="0"/>
        <w:tabs>
          <w:tab w:val="left" w:pos="0"/>
        </w:tabs>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69274063">
      <w:pPr>
        <w:keepNext w:val="0"/>
        <w:keepLines w:val="0"/>
        <w:pageBreakBefore w:val="0"/>
        <w:kinsoku/>
        <w:wordWrap/>
        <w:overflowPunct/>
        <w:topLinePunct w:val="0"/>
        <w:autoSpaceDE/>
        <w:autoSpaceDN/>
        <w:bidi w:val="0"/>
        <w:snapToGrid/>
        <w:spacing w:line="440" w:lineRule="exact"/>
        <w:ind w:left="426"/>
        <w:outlineLvl w:val="1"/>
        <w:rPr>
          <w:rFonts w:hint="eastAsia" w:ascii="宋体" w:hAnsi="宋体" w:eastAsia="宋体" w:cs="宋体"/>
          <w:b/>
          <w:sz w:val="24"/>
          <w:szCs w:val="24"/>
        </w:rPr>
      </w:pPr>
      <w:bookmarkStart w:id="47" w:name="_Toc286993793"/>
      <w:bookmarkStart w:id="48" w:name="_Toc211911354"/>
      <w:bookmarkStart w:id="49" w:name="_Toc225654650"/>
      <w:bookmarkStart w:id="50" w:name="_Toc225244858"/>
      <w:bookmarkStart w:id="51" w:name="_Toc282696231"/>
      <w:bookmarkStart w:id="52" w:name="_Toc211854455"/>
      <w:bookmarkStart w:id="53" w:name="_Toc247334847"/>
      <w:bookmarkStart w:id="54" w:name="_Toc239233920"/>
      <w:bookmarkStart w:id="55" w:name="_Toc238984981"/>
      <w:bookmarkStart w:id="56" w:name="_Toc225670757"/>
      <w:bookmarkStart w:id="57" w:name="_Toc239568424"/>
      <w:bookmarkStart w:id="58" w:name="_Toc237145412"/>
      <w:bookmarkStart w:id="59" w:name="_Toc212019600"/>
      <w:bookmarkStart w:id="60" w:name="_Toc283019219"/>
      <w:bookmarkStart w:id="61" w:name="_Toc241833909"/>
      <w:bookmarkStart w:id="62" w:name="_Toc232492934"/>
      <w:bookmarkStart w:id="63" w:name="_Toc185395255"/>
      <w:bookmarkStart w:id="64" w:name="_Toc251768868"/>
      <w:bookmarkStart w:id="65" w:name="_Toc28433"/>
      <w:r>
        <w:rPr>
          <w:rFonts w:hint="eastAsia" w:ascii="宋体" w:hAnsi="宋体" w:eastAsia="宋体" w:cs="宋体"/>
          <w:b/>
          <w:sz w:val="24"/>
          <w:szCs w:val="24"/>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sz w:val="24"/>
          <w:szCs w:val="24"/>
        </w:rPr>
        <w:t>生效及其他</w:t>
      </w:r>
      <w:bookmarkEnd w:id="65"/>
    </w:p>
    <w:p w14:paraId="185BB2B4">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1、合同经双方法定代表人（单位负责人）或授权委托代理人签字并加盖单位公章并由采购代理机构盖章后生效。</w:t>
      </w:r>
    </w:p>
    <w:p w14:paraId="7F00FA07">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967F43E">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3、项目响应文件</w:t>
      </w:r>
    </w:p>
    <w:p w14:paraId="06DC7E17">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1B06AB14">
      <w:pPr>
        <w:pStyle w:val="21"/>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108FDE4B">
      <w:pPr>
        <w:keepNext w:val="0"/>
        <w:keepLines w:val="0"/>
        <w:pageBreakBefore w:val="0"/>
        <w:kinsoku/>
        <w:wordWrap/>
        <w:overflowPunct/>
        <w:topLinePunct w:val="0"/>
        <w:autoSpaceDE/>
        <w:autoSpaceDN/>
        <w:bidi w:val="0"/>
        <w:snapToGrid/>
        <w:spacing w:line="440" w:lineRule="exact"/>
        <w:jc w:val="right"/>
        <w:rPr>
          <w:rFonts w:hint="eastAsia" w:ascii="宋体" w:hAnsi="宋体" w:eastAsia="宋体" w:cs="宋体"/>
          <w:sz w:val="24"/>
          <w:szCs w:val="24"/>
          <w:highlight w:val="none"/>
        </w:rPr>
      </w:pPr>
    </w:p>
    <w:p w14:paraId="2F74989C">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22284FCE">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此页无正文</w:t>
      </w:r>
      <w:r>
        <w:rPr>
          <w:rFonts w:hint="eastAsia" w:ascii="宋体" w:hAnsi="宋体" w:eastAsia="宋体" w:cs="宋体"/>
          <w:sz w:val="24"/>
          <w:szCs w:val="24"/>
          <w:lang w:eastAsia="zh-CN"/>
        </w:rPr>
        <w:t>）</w:t>
      </w:r>
    </w:p>
    <w:p w14:paraId="36DEF9E3">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p>
    <w:p w14:paraId="2EA6FBAE">
      <w:pPr>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4"/>
          <w:szCs w:val="24"/>
        </w:rPr>
      </w:pPr>
    </w:p>
    <w:p w14:paraId="18D1C622">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   （盖章）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乙方：   （盖章）</w:t>
      </w:r>
    </w:p>
    <w:p w14:paraId="3FD2669F">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法定代表人（单位负责人）：</w:t>
      </w:r>
    </w:p>
    <w:p w14:paraId="56FBEB45">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                           地    址：</w:t>
      </w:r>
    </w:p>
    <w:p w14:paraId="273CBFF5">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开户银行：                           开户银行：</w:t>
      </w:r>
    </w:p>
    <w:p w14:paraId="446560DE">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账号：                               账号：</w:t>
      </w:r>
    </w:p>
    <w:p w14:paraId="6E1E9200">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电    话：                           电    话：</w:t>
      </w:r>
    </w:p>
    <w:p w14:paraId="179590D8">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传    真：                           传    真：</w:t>
      </w:r>
    </w:p>
    <w:p w14:paraId="7DABB07D">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rPr>
        <w:t xml:space="preserve">签约日期：  年  月  日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签约日期：  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2"/>
      <w:numFmt w:val="decimal"/>
      <w:suff w:val="nothing"/>
      <w:lvlText w:val="%1、"/>
      <w:lvlJc w:val="left"/>
    </w:lvl>
  </w:abstractNum>
  <w:abstractNum w:abstractNumId="1">
    <w:nsid w:val="1C7693ED"/>
    <w:multiLevelType w:val="singleLevel"/>
    <w:tmpl w:val="1C7693ED"/>
    <w:lvl w:ilvl="0" w:tentative="0">
      <w:start w:val="2"/>
      <w:numFmt w:val="chineseCounting"/>
      <w:suff w:val="space"/>
      <w:lvlText w:val="第%1条"/>
      <w:lvlJc w:val="left"/>
      <w:rPr>
        <w:rFonts w:hint="eastAsia"/>
      </w:rPr>
    </w:lvl>
  </w:abstractNum>
  <w:abstractNum w:abstractNumId="2">
    <w:nsid w:val="52DAECE6"/>
    <w:multiLevelType w:val="singleLevel"/>
    <w:tmpl w:val="52DAECE6"/>
    <w:lvl w:ilvl="0" w:tentative="0">
      <w:start w:val="1"/>
      <w:numFmt w:val="chineseCounting"/>
      <w:suff w:val="space"/>
      <w:lvlText w:val="第%1条"/>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32A2805"/>
    <w:rsid w:val="04A91F47"/>
    <w:rsid w:val="04FD04C4"/>
    <w:rsid w:val="096629EA"/>
    <w:rsid w:val="09C3197A"/>
    <w:rsid w:val="09E47C9E"/>
    <w:rsid w:val="0A0B72F0"/>
    <w:rsid w:val="0A87333E"/>
    <w:rsid w:val="105318FC"/>
    <w:rsid w:val="13CB0C43"/>
    <w:rsid w:val="13E176DC"/>
    <w:rsid w:val="13E17932"/>
    <w:rsid w:val="14A302EB"/>
    <w:rsid w:val="177F50ED"/>
    <w:rsid w:val="17911FD7"/>
    <w:rsid w:val="19490666"/>
    <w:rsid w:val="19880115"/>
    <w:rsid w:val="19F079F5"/>
    <w:rsid w:val="1B05046C"/>
    <w:rsid w:val="1F78429F"/>
    <w:rsid w:val="21231F07"/>
    <w:rsid w:val="26CC58BB"/>
    <w:rsid w:val="28F811E9"/>
    <w:rsid w:val="291549BA"/>
    <w:rsid w:val="2AAB7B5C"/>
    <w:rsid w:val="2B4474F6"/>
    <w:rsid w:val="2BFF7D49"/>
    <w:rsid w:val="2C7F2067"/>
    <w:rsid w:val="2D177764"/>
    <w:rsid w:val="2D73359C"/>
    <w:rsid w:val="31B77767"/>
    <w:rsid w:val="321F1F4B"/>
    <w:rsid w:val="328E2276"/>
    <w:rsid w:val="3448144B"/>
    <w:rsid w:val="347303D7"/>
    <w:rsid w:val="34EB7E53"/>
    <w:rsid w:val="3A1B3ECB"/>
    <w:rsid w:val="3AEE380C"/>
    <w:rsid w:val="3DC12FC4"/>
    <w:rsid w:val="3FD85478"/>
    <w:rsid w:val="40C37860"/>
    <w:rsid w:val="412F4931"/>
    <w:rsid w:val="43180256"/>
    <w:rsid w:val="44E40195"/>
    <w:rsid w:val="45A23E2C"/>
    <w:rsid w:val="45EC27F3"/>
    <w:rsid w:val="46CC1837"/>
    <w:rsid w:val="47FC28DE"/>
    <w:rsid w:val="4B2139B4"/>
    <w:rsid w:val="4F243F27"/>
    <w:rsid w:val="526565AE"/>
    <w:rsid w:val="53B52B8D"/>
    <w:rsid w:val="53E7706C"/>
    <w:rsid w:val="53E967C7"/>
    <w:rsid w:val="548B3E82"/>
    <w:rsid w:val="55926D75"/>
    <w:rsid w:val="5C72662F"/>
    <w:rsid w:val="5DE415F1"/>
    <w:rsid w:val="5FBA34BD"/>
    <w:rsid w:val="606D615B"/>
    <w:rsid w:val="617B2617"/>
    <w:rsid w:val="6344372A"/>
    <w:rsid w:val="63DE1173"/>
    <w:rsid w:val="64C50F79"/>
    <w:rsid w:val="652C66C7"/>
    <w:rsid w:val="66A86D47"/>
    <w:rsid w:val="69AD2AEA"/>
    <w:rsid w:val="6B2C007D"/>
    <w:rsid w:val="6BE7760A"/>
    <w:rsid w:val="6CBA1BBE"/>
    <w:rsid w:val="706E4C9B"/>
    <w:rsid w:val="715524EF"/>
    <w:rsid w:val="73964E7A"/>
    <w:rsid w:val="753B6A40"/>
    <w:rsid w:val="76655D2B"/>
    <w:rsid w:val="77BE04D4"/>
    <w:rsid w:val="77F79321"/>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1965</Words>
  <Characters>2036</Characters>
  <Lines>0</Lines>
  <Paragraphs>0</Paragraphs>
  <TotalTime>0</TotalTime>
  <ScaleCrop>false</ScaleCrop>
  <LinksUpToDate>false</LinksUpToDate>
  <CharactersWithSpaces>2398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Summer</cp:lastModifiedBy>
  <cp:lastPrinted>2024-10-28T08:52:00Z</cp:lastPrinted>
  <dcterms:modified xsi:type="dcterms:W3CDTF">2025-07-10T04:22:10Z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5089E9923D48434A81547F6362A2FD12_12</vt:lpwstr>
  </property>
  <property fmtid="{D5CDD505-2E9C-101B-9397-08002B2CF9AE}" pid="4" name="KSOTemplateDocerSaveRecord">
    <vt:lpwstr>eyJoZGlkIjoiMWY3Nzc4MGZiNjQzMTVmMDc1OWRhZDhiOTgyM2ViOGIiLCJ1c2VySWQiOiIyMzczOTcxMTEifQ==</vt:lpwstr>
  </property>
</Properties>
</file>