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版本号：【KRDL】K4-250712020250714001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西门子X射线血管造影系统(DSA)维保服务采购项目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【KRDL】K4-2507120</w:t>
      </w:r>
      <w:r>
        <w:br/>
      </w:r>
      <w:r>
        <w:br/>
      </w:r>
      <w:r>
        <w:br/>
      </w:r>
    </w:p>
    <w:p>
      <w:pPr>
        <w:pStyle w:val="null3"/>
        <w:jc w:val="center"/>
        <w:outlineLvl w:val="2"/>
      </w:pPr>
      <w:r>
        <w:rPr>
          <w:rFonts w:ascii="仿宋_GB2312" w:hAnsi="仿宋_GB2312" w:cs="仿宋_GB2312" w:eastAsia="仿宋_GB2312"/>
          <w:sz w:val="28"/>
          <w:b/>
        </w:rPr>
        <w:t>陕西省肿瘤医院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陕西省肿瘤医院</w:t>
      </w:r>
      <w:r>
        <w:rPr>
          <w:rFonts w:ascii="仿宋_GB2312" w:hAnsi="仿宋_GB2312" w:cs="仿宋_GB2312" w:eastAsia="仿宋_GB2312"/>
        </w:rPr>
        <w:t>委托，拟对</w:t>
      </w:r>
      <w:r>
        <w:rPr>
          <w:rFonts w:ascii="仿宋_GB2312" w:hAnsi="仿宋_GB2312" w:cs="仿宋_GB2312" w:eastAsia="仿宋_GB2312"/>
        </w:rPr>
        <w:t>西门子X射线血管造影系统(DSA)维保服务采购项目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【KRDL】K4-2507120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西门子X射线血管造影系统(DSA)维保服务采购项目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肿瘤医院西门子X射线血管造影系统(DSA)维保服务采购项目，拟对西门子X射线血管造影系统(DSA)的整机进行维保服务，内容包含：现场故障诊断及不限次数人工维修，以及球管、探测器、准直器、主机、显示器整机故障配件等，具体内容及要求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1、主体资格：供应商为向采购人提供相关服务的法人或其他组织；</w:t>
      </w:r>
    </w:p>
    <w:p>
      <w:pPr>
        <w:pStyle w:val="null3"/>
      </w:pPr>
      <w:r>
        <w:rPr>
          <w:rFonts w:ascii="仿宋_GB2312" w:hAnsi="仿宋_GB2312" w:cs="仿宋_GB2312" w:eastAsia="仿宋_GB2312"/>
        </w:rPr>
        <w:t>2、信誉要求：截止至响应文件递交截止时间之前，供应商未被“信用中国”网站列入失信被执行人、重大税收违法失信主体名单，未被“中国政府采购网”网站列入政府采购严重违法失信行为记录名单；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3、磋商授权代表：供应商应授权合法的人员参加本项目磋商活动全过程；</w:t>
      </w:r>
    </w:p>
    <w:p>
      <w:pPr>
        <w:pStyle w:val="null3"/>
      </w:pPr>
      <w:r>
        <w:rPr>
          <w:rFonts w:ascii="仿宋_GB2312" w:hAnsi="仿宋_GB2312" w:cs="仿宋_GB2312" w:eastAsia="仿宋_GB2312"/>
        </w:rPr>
        <w:t>4、是否专门面向中小企业采购：本项目不专门面向中小企业采购。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陕西省肿瘤医院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西安市雁塔西路309号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029-85276353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姚瑶、代光艳、刘如拉、贾亚妮、王昭、刘昆、张晨、王森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029-89581863、15229797656、17302920968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857号）的有关规定向采购代理机构一次付清代理服务费。注：转账需备注项目名称+代理服务费/磋商保证金</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陕西省肿瘤医院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陕西省肿瘤医院</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陕西省肿瘤医院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以本项目签订合同约定为准。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联系人：代光艳、刘如拉</w:t>
      </w:r>
    </w:p>
    <w:p>
      <w:pPr>
        <w:pStyle w:val="null3"/>
      </w:pPr>
      <w:r>
        <w:rPr>
          <w:rFonts w:ascii="仿宋_GB2312" w:hAnsi="仿宋_GB2312" w:cs="仿宋_GB2312" w:eastAsia="仿宋_GB2312"/>
        </w:rPr>
        <w:t>联系电话：17302920968、15229797656</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肿瘤医院西门子X射线血管造影系统(DSA)维保服务采购项目，拟对西门子X射线血管造影系统(DSA)的整机进行维保服务，服务内容包含：现场故障诊断及不限次数人工维修，以及球管、探测器、准直器、主机、显示器整机故障配件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530,000.00</w:t>
      </w:r>
    </w:p>
    <w:p>
      <w:pPr>
        <w:pStyle w:val="null3"/>
      </w:pPr>
      <w:r>
        <w:rPr>
          <w:rFonts w:ascii="仿宋_GB2312" w:hAnsi="仿宋_GB2312" w:cs="仿宋_GB2312" w:eastAsia="仿宋_GB2312"/>
        </w:rPr>
        <w:t>采购包最高限价（元）: 490,000.00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西门子X射线血管造影系统（DSA）维保服务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标的名称：西门子X射线血管造影系统（DSA）维保服务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80"/>
              <w:jc w:val="both"/>
            </w:pPr>
            <w:r>
              <w:rPr>
                <w:rFonts w:ascii="仿宋_GB2312" w:hAnsi="仿宋_GB2312" w:cs="仿宋_GB2312" w:eastAsia="仿宋_GB2312"/>
                <w:sz w:val="24"/>
                <w:b/>
              </w:rPr>
              <w:t>一、服务内容及要求</w:t>
            </w:r>
          </w:p>
          <w:p>
            <w:pPr>
              <w:pStyle w:val="null3"/>
              <w:ind w:firstLine="482"/>
              <w:jc w:val="both"/>
            </w:pPr>
            <w:r>
              <w:rPr>
                <w:rFonts w:ascii="仿宋_GB2312" w:hAnsi="仿宋_GB2312" w:cs="仿宋_GB2312" w:eastAsia="仿宋_GB2312"/>
                <w:sz w:val="24"/>
                <w:b/>
              </w:rPr>
              <w:t>（一）维保</w:t>
            </w:r>
            <w:r>
              <w:rPr>
                <w:rFonts w:ascii="仿宋_GB2312" w:hAnsi="仿宋_GB2312" w:cs="仿宋_GB2312" w:eastAsia="仿宋_GB2312"/>
                <w:sz w:val="24"/>
                <w:b/>
              </w:rPr>
              <w:t>设备名称及型号</w:t>
            </w:r>
          </w:p>
          <w:tbl>
            <w:tblPr>
              <w:tblBorders>
                <w:top w:val="none" w:color="000000" w:sz="4"/>
                <w:left w:val="none" w:color="000000" w:sz="4"/>
                <w:bottom w:val="none" w:color="000000" w:sz="4"/>
                <w:right w:val="none" w:color="000000" w:sz="4"/>
                <w:insideH w:val="none"/>
                <w:insideV w:val="none"/>
              </w:tblBorders>
            </w:tblPr>
            <w:tblGrid>
              <w:gridCol w:w="544"/>
              <w:gridCol w:w="683"/>
              <w:gridCol w:w="848"/>
              <w:gridCol w:w="479"/>
            </w:tblGrid>
            <w:tr>
              <w:tc>
                <w:tcPr>
                  <w:tcW w:type="dxa" w:w="5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设备名称</w:t>
                  </w:r>
                </w:p>
              </w:tc>
              <w:tc>
                <w:tcPr>
                  <w:tcW w:type="dxa" w:w="68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生产厂家</w:t>
                  </w:r>
                </w:p>
              </w:tc>
              <w:tc>
                <w:tcPr>
                  <w:tcW w:type="dxa" w:w="84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规格型号</w:t>
                  </w:r>
                </w:p>
              </w:tc>
              <w:tc>
                <w:tcPr>
                  <w:tcW w:type="dxa" w:w="47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数量</w:t>
                  </w:r>
                  <w:r>
                    <w:rPr>
                      <w:rFonts w:ascii="仿宋_GB2312" w:hAnsi="仿宋_GB2312" w:cs="仿宋_GB2312" w:eastAsia="仿宋_GB2312"/>
                      <w:sz w:val="24"/>
                    </w:rPr>
                    <w:t>/单位</w:t>
                  </w:r>
                </w:p>
              </w:tc>
            </w:tr>
            <w:tr>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DSA</w:t>
                  </w:r>
                </w:p>
              </w:tc>
              <w:tc>
                <w:tcPr>
                  <w:tcW w:type="dxa" w:w="6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西门子</w:t>
                  </w:r>
                </w:p>
              </w:tc>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artis one</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台</w:t>
                  </w:r>
                </w:p>
              </w:tc>
            </w:tr>
          </w:tbl>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保修类别：</w:t>
            </w:r>
            <w:r>
              <w:rPr>
                <w:rFonts w:ascii="仿宋_GB2312" w:hAnsi="仿宋_GB2312" w:cs="仿宋_GB2312" w:eastAsia="仿宋_GB2312"/>
                <w:sz w:val="24"/>
              </w:rPr>
              <w:t>全保</w:t>
            </w:r>
            <w:r>
              <w:rPr>
                <w:rFonts w:ascii="仿宋_GB2312" w:hAnsi="仿宋_GB2312" w:cs="仿宋_GB2312" w:eastAsia="仿宋_GB2312"/>
                <w:sz w:val="24"/>
              </w:rPr>
              <w:t>(含第三方附属设备)</w:t>
            </w:r>
          </w:p>
          <w:p>
            <w:pPr>
              <w:pStyle w:val="null3"/>
              <w:ind w:firstLine="482"/>
              <w:jc w:val="both"/>
            </w:pPr>
            <w:r>
              <w:rPr>
                <w:rFonts w:ascii="仿宋_GB2312" w:hAnsi="仿宋_GB2312" w:cs="仿宋_GB2312" w:eastAsia="仿宋_GB2312"/>
                <w:sz w:val="24"/>
                <w:b/>
              </w:rPr>
              <w:t>（三）维保</w:t>
            </w:r>
            <w:r>
              <w:rPr>
                <w:rFonts w:ascii="仿宋_GB2312" w:hAnsi="仿宋_GB2312" w:cs="仿宋_GB2312" w:eastAsia="仿宋_GB2312"/>
                <w:sz w:val="24"/>
                <w:b/>
              </w:rPr>
              <w:t>技术服务要求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维保合同有效期内提供不限次数人工服务</w:t>
            </w:r>
            <w:r>
              <w:rPr>
                <w:rFonts w:ascii="仿宋_GB2312" w:hAnsi="仿宋_GB2312" w:cs="仿宋_GB2312" w:eastAsia="仿宋_GB2312"/>
                <w:sz w:val="24"/>
              </w:rPr>
              <w:t>(保修费用含所有人工费、交通费住宿费、故障 诊断费)。</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保修期内包含整机所有故障配件，包含球管</w:t>
            </w:r>
            <w:r>
              <w:rPr>
                <w:rFonts w:ascii="仿宋_GB2312" w:hAnsi="仿宋_GB2312" w:cs="仿宋_GB2312" w:eastAsia="仿宋_GB2312"/>
                <w:sz w:val="24"/>
              </w:rPr>
              <w:t>、平板探测器、高压发生器、准直器、主机</w:t>
            </w:r>
            <w:r>
              <w:rPr>
                <w:rFonts w:ascii="仿宋_GB2312" w:hAnsi="仿宋_GB2312" w:cs="仿宋_GB2312" w:eastAsia="仿宋_GB2312"/>
                <w:sz w:val="24"/>
              </w:rPr>
              <w:t>等备件更换费用和人工服务费用。包含第三方附属产品</w:t>
            </w:r>
            <w:r>
              <w:rPr>
                <w:rFonts w:ascii="仿宋_GB2312" w:hAnsi="仿宋_GB2312" w:cs="仿宋_GB2312" w:eastAsia="仿宋_GB2312"/>
                <w:sz w:val="24"/>
              </w:rPr>
              <w:t>(如</w:t>
            </w:r>
            <w:r>
              <w:rPr>
                <w:rFonts w:ascii="仿宋_GB2312" w:hAnsi="仿宋_GB2312" w:cs="仿宋_GB2312" w:eastAsia="仿宋_GB2312"/>
                <w:sz w:val="24"/>
              </w:rPr>
              <w:t>高压注射器</w:t>
            </w:r>
            <w:r>
              <w:rPr>
                <w:rFonts w:ascii="仿宋_GB2312" w:hAnsi="仿宋_GB2312" w:cs="仿宋_GB2312" w:eastAsia="仿宋_GB2312"/>
                <w:sz w:val="24"/>
              </w:rPr>
              <w:t>、稳压电源、</w:t>
            </w:r>
            <w:r>
              <w:rPr>
                <w:rFonts w:ascii="仿宋_GB2312" w:hAnsi="仿宋_GB2312" w:cs="仿宋_GB2312" w:eastAsia="仿宋_GB2312"/>
                <w:sz w:val="24"/>
              </w:rPr>
              <w:t>UPS、激光 相机、外配打印机、录像机、视频外设等)。</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供应商</w:t>
            </w:r>
            <w:r>
              <w:rPr>
                <w:rFonts w:ascii="仿宋_GB2312" w:hAnsi="仿宋_GB2312" w:cs="仿宋_GB2312" w:eastAsia="仿宋_GB2312"/>
                <w:sz w:val="24"/>
              </w:rPr>
              <w:t>需</w:t>
            </w:r>
            <w:r>
              <w:rPr>
                <w:rFonts w:ascii="仿宋_GB2312" w:hAnsi="仿宋_GB2312" w:cs="仿宋_GB2312" w:eastAsia="仿宋_GB2312"/>
                <w:sz w:val="24"/>
              </w:rPr>
              <w:t>提供</w:t>
            </w:r>
            <w:r>
              <w:rPr>
                <w:rFonts w:ascii="仿宋_GB2312" w:hAnsi="仿宋_GB2312" w:cs="仿宋_GB2312" w:eastAsia="仿宋_GB2312"/>
                <w:sz w:val="24"/>
              </w:rPr>
              <w:t>24小时*365天专人接听客户服务专线。响应时间：接到故障报修电话 后，0.5小时内做出响应；4小时内到达现场进行维修。</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每年度定期校准和保养，更换易损耗件，保障最高的开机率及安全性。具体保养次数：每年</w:t>
            </w:r>
            <w:r>
              <w:rPr>
                <w:rFonts w:ascii="仿宋_GB2312" w:hAnsi="仿宋_GB2312" w:cs="仿宋_GB2312" w:eastAsia="仿宋_GB2312"/>
                <w:sz w:val="24"/>
              </w:rPr>
              <w:t>4次、每季度一次。保养内容包含：设备内外部精细除尘清洁、性能测试及校准、机械及电气 检查、系统情况检查、图像质量检查、硬盘空间统计及检查、球管使用情况检查、图像处理系统检查、通讯检查以及非紧急性质的补救性维护。定</w:t>
            </w:r>
            <w:r>
              <w:rPr>
                <w:rFonts w:ascii="仿宋_GB2312" w:hAnsi="仿宋_GB2312" w:cs="仿宋_GB2312" w:eastAsia="仿宋_GB2312"/>
                <w:sz w:val="24"/>
              </w:rPr>
              <w:t>期对设备的数据进行备份，使设备保持国家权威质量计监部门标准，保养后提供专业保养的书面报告。</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在合同期内保证</w:t>
            </w:r>
            <w:r>
              <w:rPr>
                <w:rFonts w:ascii="仿宋_GB2312" w:hAnsi="仿宋_GB2312" w:cs="仿宋_GB2312" w:eastAsia="仿宋_GB2312"/>
                <w:sz w:val="24"/>
              </w:rPr>
              <w:t>95%以上的开机率，按一年365天计算，开机日每降低1个日历曰</w:t>
            </w:r>
            <w:r>
              <w:rPr>
                <w:rFonts w:ascii="仿宋_GB2312" w:hAnsi="仿宋_GB2312" w:cs="仿宋_GB2312" w:eastAsia="仿宋_GB2312"/>
                <w:sz w:val="24"/>
              </w:rPr>
              <w:t>，</w:t>
            </w:r>
            <w:r>
              <w:rPr>
                <w:rFonts w:ascii="仿宋_GB2312" w:hAnsi="仿宋_GB2312" w:cs="仿宋_GB2312" w:eastAsia="仿宋_GB2312"/>
                <w:sz w:val="24"/>
              </w:rPr>
              <w:t>保修期顺延</w:t>
            </w:r>
            <w:r>
              <w:rPr>
                <w:rFonts w:ascii="仿宋_GB2312" w:hAnsi="仿宋_GB2312" w:cs="仿宋_GB2312" w:eastAsia="仿宋_GB2312"/>
                <w:sz w:val="24"/>
              </w:rPr>
              <w:t>3个日历日。</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球管、探测器更换时间</w:t>
            </w:r>
            <w:r>
              <w:rPr>
                <w:rFonts w:ascii="仿宋_GB2312" w:hAnsi="仿宋_GB2312" w:cs="仿宋_GB2312" w:eastAsia="仿宋_GB2312"/>
                <w:sz w:val="24"/>
              </w:rPr>
              <w:t>≤48小时。</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保证提供的配件为合法渠道获得的原厂全新部件</w:t>
            </w:r>
            <w:r>
              <w:rPr>
                <w:rFonts w:ascii="仿宋_GB2312" w:hAnsi="仿宋_GB2312" w:cs="仿宋_GB2312" w:eastAsia="仿宋_GB2312"/>
                <w:sz w:val="24"/>
              </w:rPr>
              <w:t>(提供</w:t>
            </w:r>
            <w:r>
              <w:rPr>
                <w:rFonts w:ascii="仿宋_GB2312" w:hAnsi="仿宋_GB2312" w:cs="仿宋_GB2312" w:eastAsia="仿宋_GB2312"/>
                <w:sz w:val="24"/>
              </w:rPr>
              <w:t>承诺函，格式自拟</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保修期内，供应商须保证承保设备的运行质量及图像质量达到国家标准和厂家软件检测标准，按照厂家标准定期进行调校</w:t>
            </w:r>
            <w:r>
              <w:rPr>
                <w:rFonts w:ascii="仿宋_GB2312" w:hAnsi="仿宋_GB2312" w:cs="仿宋_GB2312" w:eastAsia="仿宋_GB2312"/>
                <w:sz w:val="24"/>
              </w:rPr>
              <w:t>/校正(不在保修范围内的部件造成质量不达标除外),须配合采购人完成相关检测。</w:t>
            </w:r>
            <w:r>
              <w:br/>
            </w:r>
            <w:r>
              <w:rPr>
                <w:rFonts w:ascii="仿宋_GB2312" w:hAnsi="仿宋_GB2312" w:cs="仿宋_GB2312" w:eastAsia="仿宋_GB2312"/>
                <w:sz w:val="21"/>
              </w:rPr>
              <w:t xml:space="preserve">     </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为保证设备开机率，供应商</w:t>
            </w:r>
            <w:r>
              <w:rPr>
                <w:rFonts w:ascii="仿宋_GB2312" w:hAnsi="仿宋_GB2312" w:cs="仿宋_GB2312" w:eastAsia="仿宋_GB2312"/>
                <w:sz w:val="24"/>
              </w:rPr>
              <w:t>应</w:t>
            </w:r>
            <w:r>
              <w:rPr>
                <w:rFonts w:ascii="仿宋_GB2312" w:hAnsi="仿宋_GB2312" w:cs="仿宋_GB2312" w:eastAsia="仿宋_GB2312"/>
                <w:sz w:val="24"/>
              </w:rPr>
              <w:t>具备一套医学影像设备远程控制维护系统，</w:t>
            </w:r>
            <w:r>
              <w:br/>
            </w:r>
            <w:r>
              <w:rPr>
                <w:rFonts w:ascii="仿宋_GB2312" w:hAnsi="仿宋_GB2312" w:cs="仿宋_GB2312" w:eastAsia="仿宋_GB2312"/>
                <w:sz w:val="24"/>
              </w:rPr>
              <w:t>在设备故障发生前进行预警，提前到场进行维护维修，避免故障停机；具有保障设备稳定运行和维护的能力</w:t>
            </w:r>
            <w:r>
              <w:rPr>
                <w:rFonts w:ascii="仿宋_GB2312" w:hAnsi="仿宋_GB2312" w:cs="仿宋_GB2312" w:eastAsia="仿宋_GB2312"/>
                <w:sz w:val="24"/>
              </w:rPr>
              <w:t>(提供软件证书、软件截图等证明材料)</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供应商能使用专用剂量检测工具检测</w:t>
            </w:r>
            <w:r>
              <w:rPr>
                <w:rFonts w:ascii="仿宋_GB2312" w:hAnsi="仿宋_GB2312" w:cs="仿宋_GB2312" w:eastAsia="仿宋_GB2312"/>
                <w:sz w:val="24"/>
              </w:rPr>
              <w:t>DSA输出剂量，具备调试能力，确保设备输出正确的X射线剂量，保证其符合国家标准，保障患者安全提供剂量检测设备照片作为证明材料</w:t>
            </w:r>
            <w:r>
              <w:rPr>
                <w:rFonts w:ascii="仿宋_GB2312" w:hAnsi="仿宋_GB2312" w:cs="仿宋_GB2312" w:eastAsia="仿宋_GB2312"/>
                <w:sz w:val="24"/>
              </w:rPr>
              <w:t>，提供近</w:t>
            </w:r>
            <w:r>
              <w:rPr>
                <w:rFonts w:ascii="仿宋_GB2312" w:hAnsi="仿宋_GB2312" w:cs="仿宋_GB2312" w:eastAsia="仿宋_GB2312"/>
                <w:sz w:val="24"/>
              </w:rPr>
              <w:t>一年</w:t>
            </w:r>
            <w:r>
              <w:rPr>
                <w:rFonts w:ascii="仿宋_GB2312" w:hAnsi="仿宋_GB2312" w:cs="仿宋_GB2312" w:eastAsia="仿宋_GB2312"/>
                <w:sz w:val="24"/>
              </w:rPr>
              <w:t>(2024年1月1日以来)的个人计量检测报告</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供应商具备专业的服务团队，为本项目配备专业的工程师不少于</w:t>
            </w:r>
            <w:r>
              <w:rPr>
                <w:rFonts w:ascii="仿宋_GB2312" w:hAnsi="仿宋_GB2312" w:cs="仿宋_GB2312" w:eastAsia="仿宋_GB2312"/>
                <w:sz w:val="24"/>
              </w:rPr>
              <w:t>3名。(提供毕业证书及工程师近三个月社保证明)。</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满足本采购包服务需求的人员配置。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满足本采购包服务需求的设施设备。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维保服务期限三年（合同一年一签，每年考核一次，采购人依据考核结果决定是否续签下一年服务合同，最多续签两次）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本项目验收由采购人有关部门进行验收，质量达到现行合格标准，符合国家、行业、地方规定以及磋商文件规定标准要求。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每半年考核合格后，经采购人确认后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每半年考核合格后，经采购人确认后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以本项目合同约定为准。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预算金额为一年预算，维保服务期限三年（合同一年一签，每年考核一次，采购人依据考核结果决定是否续签下一年服务合同，最多续签两次）。各供应商的响应报价不得超过最高限价，否则按无效响应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供应商应提供的资格证明材料.docx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会计师事务所出具的完整的2023或2024年度审计报告（成立时间至提交响应文件截止时间不足一年的可提供成立后任意时段的资产负债表），或提交自2024年1月1日以来银行出具的资信证明，或信用担保机构出具的投标担保函（以上三种形式的资料提供任何一种即可）； 其他组织和自然人提供银行出具的资信证明或财务报表或提供承诺函，供应商需在项目电子化交易系统中按要求上传相应证明文件并进行电子签章。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供应商应提供的资格证明材料.docx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供应商为向采购人提供相关服务的法人或其他组织；</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磋商授权代表</w:t>
            </w:r>
          </w:p>
        </w:tc>
        <w:tc>
          <w:tcPr>
            <w:tcW w:type="dxa" w:w="3322"/>
          </w:tcPr>
          <w:p>
            <w:pPr>
              <w:pStyle w:val="null3"/>
            </w:pPr>
            <w:r>
              <w:rPr>
                <w:rFonts w:ascii="仿宋_GB2312" w:hAnsi="仿宋_GB2312" w:cs="仿宋_GB2312" w:eastAsia="仿宋_GB2312"/>
              </w:rPr>
              <w:t>供应商应授权合法的人员参加本项目磋商活动全过程；</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是否专门面向中小企业采购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供应商应提供的资格证明材料.docx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响应文件是否按竞争性磋商文件要求签署、盖章的</w:t>
            </w:r>
          </w:p>
        </w:tc>
        <w:tc>
          <w:tcPr>
            <w:tcW w:type="dxa" w:w="3322"/>
          </w:tcPr>
          <w:p>
            <w:pPr>
              <w:pStyle w:val="null3"/>
            </w:pPr>
            <w:r>
              <w:rPr>
                <w:rFonts w:ascii="仿宋_GB2312" w:hAnsi="仿宋_GB2312" w:cs="仿宋_GB2312" w:eastAsia="仿宋_GB2312"/>
              </w:rPr>
              <w:t>响应文件按竞争性磋商文件要求签署、盖章的；</w:t>
            </w:r>
          </w:p>
        </w:tc>
        <w:tc>
          <w:tcPr>
            <w:tcW w:type="dxa" w:w="1661"/>
          </w:tcPr>
          <w:p>
            <w:pPr>
              <w:pStyle w:val="null3"/>
            </w:pPr>
            <w:r>
              <w:rPr>
                <w:rFonts w:ascii="仿宋_GB2312" w:hAnsi="仿宋_GB2312" w:cs="仿宋_GB2312" w:eastAsia="仿宋_GB2312"/>
              </w:rPr>
              <w:t>供应商应提供的资格证明材料.docx 服务内容及服务邀请应答表 中小企业声明函 商务应答表 企业业绩.docx 总体维修保养服务方案.docx 应急方案.docx 拟投入本项目团队人员的配置情况及岗位职责分工.docx 报价表 主要部件、配件、配套设备.docx 服务需求整体理解.docx 维保设备清单及备品备件清单.docx 合理化建议.docx 兼容承诺函.docx 响应文件封面 维修保养制度与操作规范及针对本项目制定的相关措施服务方案.docx 残疾人福利性单位声明函 标的清单 现场故障响应及在线服务响应承诺.docx 维修保养服务质量保证及应对措施.docx 维护保养范围、标准、机器清洁及安全检查服务方案.docx 定期预防性检查及评估方案.docx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报价是否超过竞争性磋商文件中规定的最高限价的</w:t>
            </w:r>
          </w:p>
        </w:tc>
        <w:tc>
          <w:tcPr>
            <w:tcW w:type="dxa" w:w="3322"/>
          </w:tcPr>
          <w:p>
            <w:pPr>
              <w:pStyle w:val="null3"/>
            </w:pPr>
            <w:r>
              <w:rPr>
                <w:rFonts w:ascii="仿宋_GB2312" w:hAnsi="仿宋_GB2312" w:cs="仿宋_GB2312" w:eastAsia="仿宋_GB2312"/>
              </w:rPr>
              <w:t>响应报价未超过竞争性磋商文件中规定的最高限价的；</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w:t>
            </w:r>
          </w:p>
        </w:tc>
        <w:tc>
          <w:tcPr>
            <w:tcW w:type="dxa" w:w="1661"/>
          </w:tcPr>
          <w:p>
            <w:pPr>
              <w:pStyle w:val="null3"/>
            </w:pPr>
            <w:r>
              <w:rPr>
                <w:rFonts w:ascii="仿宋_GB2312" w:hAnsi="仿宋_GB2312" w:cs="仿宋_GB2312" w:eastAsia="仿宋_GB2312"/>
              </w:rPr>
              <w:t>供应商应提供的资格证明材料.docx 服务内容及服务邀请应答表 中小企业声明函 商务应答表 企业业绩.docx 总体维修保养服务方案.docx 应急方案.docx 拟投入本项目团队人员的配置情况及岗位职责分工.docx 报价表 主要部件、配件、配套设备.docx 服务需求整体理解.docx 维保设备清单及备品备件清单.docx 合理化建议.docx 兼容承诺函.docx 响应文件封面 维修保养制度与操作规范及针对本项目制定的相关措施服务方案.docx 残疾人福利性单位声明函 标的清单 现场故障响应及在线服务响应承诺.docx 维修保养服务质量保证及应对措施.docx 维护保养范围、标准、机器清洁及安全检查服务方案.docx 定期预防性检查及评估方案.docx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是否发现法律、法规和竞争性磋商文件规定的其他无效情形</w:t>
            </w:r>
          </w:p>
        </w:tc>
        <w:tc>
          <w:tcPr>
            <w:tcW w:type="dxa" w:w="3322"/>
          </w:tcPr>
          <w:p>
            <w:pPr>
              <w:pStyle w:val="null3"/>
            </w:pPr>
            <w:r>
              <w:rPr>
                <w:rFonts w:ascii="仿宋_GB2312" w:hAnsi="仿宋_GB2312" w:cs="仿宋_GB2312" w:eastAsia="仿宋_GB2312"/>
              </w:rPr>
              <w:t>响应文件未发现法律、法规和竞争性磋商文件规定的其他无效情形。</w:t>
            </w:r>
          </w:p>
        </w:tc>
        <w:tc>
          <w:tcPr>
            <w:tcW w:type="dxa" w:w="1661"/>
          </w:tcPr>
          <w:p>
            <w:pPr>
              <w:pStyle w:val="null3"/>
            </w:pPr>
            <w:r>
              <w:rPr>
                <w:rFonts w:ascii="仿宋_GB2312" w:hAnsi="仿宋_GB2312" w:cs="仿宋_GB2312" w:eastAsia="仿宋_GB2312"/>
              </w:rPr>
              <w:t>供应商应提供的资格证明材料.docx 服务内容及服务邀请应答表 中小企业声明函 商务应答表 企业业绩.docx 总体维修保养服务方案.docx 应急方案.docx 拟投入本项目团队人员的配置情况及岗位职责分工.docx 报价表 主要部件、配件、配套设备.docx 服务需求整体理解.docx 维保设备清单及备品备件清单.docx 合理化建议.docx 兼容承诺函.docx 响应文件封面 维修保养制度与操作规范及针对本项目制定的相关措施服务方案.docx 残疾人福利性单位声明函 标的清单 现场故障响应及在线服务响应承诺.docx 维修保养服务质量保证及应对措施.docx 维护保养范围、标准、机器清洁及安全检查服务方案.docx 定期预防性检查及评估方案.docx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服务需求整体理解</w:t>
            </w:r>
          </w:p>
        </w:tc>
        <w:tc>
          <w:tcPr>
            <w:tcW w:type="dxa" w:w="2492"/>
          </w:tcPr>
          <w:p>
            <w:pPr>
              <w:pStyle w:val="null3"/>
            </w:pPr>
            <w:r>
              <w:rPr>
                <w:rFonts w:ascii="仿宋_GB2312" w:hAnsi="仿宋_GB2312" w:cs="仿宋_GB2312" w:eastAsia="仿宋_GB2312"/>
              </w:rPr>
              <w:t>根据供应商对本项目服务需求的理解程度、准确性进行评审： 对本项目服务内容了解全面完整、准确充分，对本项目的服务需求理解表述准确清楚得3.1-5分； 对本项目服务内容了解较为全面、充分，对本项目的服务需求理解表述较为准确清楚的得1.1-3分； 对本项目服务内容了解不全面，对本项目的服务需求理解表述不准确得0-1分；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服务需求整体理解.docx</w:t>
            </w:r>
          </w:p>
        </w:tc>
      </w:tr>
      <w:tr>
        <w:tc>
          <w:tcPr>
            <w:tcW w:type="dxa" w:w="831"/>
            <w:vMerge/>
          </w:tcPr>
          <w:p/>
        </w:tc>
        <w:tc>
          <w:tcPr>
            <w:tcW w:type="dxa" w:w="1661"/>
          </w:tcPr>
          <w:p>
            <w:pPr>
              <w:pStyle w:val="null3"/>
            </w:pPr>
            <w:r>
              <w:rPr>
                <w:rFonts w:ascii="仿宋_GB2312" w:hAnsi="仿宋_GB2312" w:cs="仿宋_GB2312" w:eastAsia="仿宋_GB2312"/>
              </w:rPr>
              <w:t>总体维修保养服务方案</w:t>
            </w:r>
          </w:p>
        </w:tc>
        <w:tc>
          <w:tcPr>
            <w:tcW w:type="dxa" w:w="2492"/>
          </w:tcPr>
          <w:p>
            <w:pPr>
              <w:pStyle w:val="null3"/>
            </w:pPr>
            <w:r>
              <w:rPr>
                <w:rFonts w:ascii="仿宋_GB2312" w:hAnsi="仿宋_GB2312" w:cs="仿宋_GB2312" w:eastAsia="仿宋_GB2312"/>
              </w:rPr>
              <w:t>根据供应商针对西门子X射线血管造影系统(DSA)总体维修保养服务方案进行评审： 服务方案科学、合理、方案内容规范性和可操作性强，能达到采购人要求的运维服务标准的得3.1-5 分； 服务方案较科学、合理、方案内容规范性稍有欠缺，但基本能达到采购人的运维服务标准得得1.1-3分； 服务方案简单，内容不具备操作性的得0-1分；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总体维修保养服务方案.docx</w:t>
            </w:r>
          </w:p>
        </w:tc>
      </w:tr>
      <w:tr>
        <w:tc>
          <w:tcPr>
            <w:tcW w:type="dxa" w:w="831"/>
            <w:vMerge/>
          </w:tcPr>
          <w:p/>
        </w:tc>
        <w:tc>
          <w:tcPr>
            <w:tcW w:type="dxa" w:w="1661"/>
          </w:tcPr>
          <w:p>
            <w:pPr>
              <w:pStyle w:val="null3"/>
            </w:pPr>
            <w:r>
              <w:rPr>
                <w:rFonts w:ascii="仿宋_GB2312" w:hAnsi="仿宋_GB2312" w:cs="仿宋_GB2312" w:eastAsia="仿宋_GB2312"/>
              </w:rPr>
              <w:t>维修保养服务质量保证及应对措施</w:t>
            </w:r>
          </w:p>
        </w:tc>
        <w:tc>
          <w:tcPr>
            <w:tcW w:type="dxa" w:w="2492"/>
          </w:tcPr>
          <w:p>
            <w:pPr>
              <w:pStyle w:val="null3"/>
            </w:pPr>
            <w:r>
              <w:rPr>
                <w:rFonts w:ascii="仿宋_GB2312" w:hAnsi="仿宋_GB2312" w:cs="仿宋_GB2312" w:eastAsia="仿宋_GB2312"/>
              </w:rPr>
              <w:t>根据供应商针对本项目提供的维修保养服务质量保证及应对措施进行评审： 维修保养服务质量保证明确，满足项目需求，应对措施内容科学、合理、方案内容规范性和可操作性强，能达到采购人要求的运维服务标准的得3.1-5分； 维修保养服务质量保证明确，满足项目需求，应对措施内容内容稍有欠缺，但基本能达到采购人的运维服务标准得得1.1-3分； 维修保养服务质量保证不明确，无法满足项目需求，应对措施内容简单，内容不具备操作性的得0-1分；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维修保养服务质量保证及应对措施.docx</w:t>
            </w:r>
          </w:p>
        </w:tc>
      </w:tr>
      <w:tr>
        <w:tc>
          <w:tcPr>
            <w:tcW w:type="dxa" w:w="831"/>
            <w:vMerge/>
          </w:tcPr>
          <w:p/>
        </w:tc>
        <w:tc>
          <w:tcPr>
            <w:tcW w:type="dxa" w:w="1661"/>
          </w:tcPr>
          <w:p>
            <w:pPr>
              <w:pStyle w:val="null3"/>
            </w:pPr>
            <w:r>
              <w:rPr>
                <w:rFonts w:ascii="仿宋_GB2312" w:hAnsi="仿宋_GB2312" w:cs="仿宋_GB2312" w:eastAsia="仿宋_GB2312"/>
              </w:rPr>
              <w:t>维修保养制度与操作规范及针对本项目制定的相关措施服务方案</w:t>
            </w:r>
          </w:p>
        </w:tc>
        <w:tc>
          <w:tcPr>
            <w:tcW w:type="dxa" w:w="2492"/>
          </w:tcPr>
          <w:p>
            <w:pPr>
              <w:pStyle w:val="null3"/>
            </w:pPr>
            <w:r>
              <w:rPr>
                <w:rFonts w:ascii="仿宋_GB2312" w:hAnsi="仿宋_GB2312" w:cs="仿宋_GB2312" w:eastAsia="仿宋_GB2312"/>
              </w:rPr>
              <w:t>根据供应商针对本项目提供的维修保养制度与操作规范及针对本项目制定的相关措施服务方案进行评审： 维修保养制度完善、操作规范，内容要求科学、合理、严谨，针对本项目切实要求制定了详细的措施条款的得3.1-6分。 维修保养制度完善，操作规范要求及相关内容稍有欠缺，但能够满足项目实施需求的得1.1-3分 维修保养制度、操作规范要求相关内容差，或存在缺漏项内容的得0-1分；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维修保养制度与操作规范及针对本项目制定的相关措施服务方案.docx</w:t>
            </w:r>
          </w:p>
        </w:tc>
      </w:tr>
      <w:tr>
        <w:tc>
          <w:tcPr>
            <w:tcW w:type="dxa" w:w="831"/>
            <w:vMerge/>
          </w:tcPr>
          <w:p/>
        </w:tc>
        <w:tc>
          <w:tcPr>
            <w:tcW w:type="dxa" w:w="1661"/>
          </w:tcPr>
          <w:p>
            <w:pPr>
              <w:pStyle w:val="null3"/>
            </w:pPr>
            <w:r>
              <w:rPr>
                <w:rFonts w:ascii="仿宋_GB2312" w:hAnsi="仿宋_GB2312" w:cs="仿宋_GB2312" w:eastAsia="仿宋_GB2312"/>
              </w:rPr>
              <w:t>维护保养范围、标准、机器清洁及安全检查服务方案</w:t>
            </w:r>
          </w:p>
        </w:tc>
        <w:tc>
          <w:tcPr>
            <w:tcW w:type="dxa" w:w="2492"/>
          </w:tcPr>
          <w:p>
            <w:pPr>
              <w:pStyle w:val="null3"/>
            </w:pPr>
            <w:r>
              <w:rPr>
                <w:rFonts w:ascii="仿宋_GB2312" w:hAnsi="仿宋_GB2312" w:cs="仿宋_GB2312" w:eastAsia="仿宋_GB2312"/>
              </w:rPr>
              <w:t>根据供应商针对本项目提供的维护保养范围、标准、机器清洁及安全检查服务方案进行评审： 服务方案科学、合理，内容规范性和可操作性强，能达到采购人要求的运维服务标准的得3.1-6分； 服务方案较科学、合理、规范性，内容稍有欠缺，但基本能达到采购人的运维服务标准得得1.1-3分； 服务方案简单，内容缺项、漏项，不具备操作性的得0-1分；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维护保养范围、标准、机器清洁及安全检查服务方案.docx</w:t>
            </w:r>
          </w:p>
        </w:tc>
      </w:tr>
      <w:tr>
        <w:tc>
          <w:tcPr>
            <w:tcW w:type="dxa" w:w="831"/>
            <w:vMerge/>
          </w:tcPr>
          <w:p/>
        </w:tc>
        <w:tc>
          <w:tcPr>
            <w:tcW w:type="dxa" w:w="1661"/>
          </w:tcPr>
          <w:p>
            <w:pPr>
              <w:pStyle w:val="null3"/>
            </w:pPr>
            <w:r>
              <w:rPr>
                <w:rFonts w:ascii="仿宋_GB2312" w:hAnsi="仿宋_GB2312" w:cs="仿宋_GB2312" w:eastAsia="仿宋_GB2312"/>
              </w:rPr>
              <w:t>维保设备清单及备品备件清单</w:t>
            </w:r>
          </w:p>
        </w:tc>
        <w:tc>
          <w:tcPr>
            <w:tcW w:type="dxa" w:w="2492"/>
          </w:tcPr>
          <w:p>
            <w:pPr>
              <w:pStyle w:val="null3"/>
            </w:pPr>
            <w:r>
              <w:rPr>
                <w:rFonts w:ascii="仿宋_GB2312" w:hAnsi="仿宋_GB2312" w:cs="仿宋_GB2312" w:eastAsia="仿宋_GB2312"/>
              </w:rPr>
              <w:t>根据供应商针对本项目维保服务所配备的设备情况，（包含拟投入维保的工具、第三方附属产品(如高压注射器、稳压电源、UPS、激光 相机、外配打印机、录像机、视频外设等，备件清单分列完整性）详细合理进行评审： 设备工具、消耗材料备品、备件库等用具配备齐全，分列完整、详细合理，完全满足项目要求得3.1-6分； 设备工具、消耗材料备品、备件库等用具配备齐全，分列基本完整，基本满足项目要求得1.1-3分； 设备工具、消耗材料备品、备件库等用具配备不齐全，较难满足项目要求得0-1分； 供应商未提供的得0分。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维保设备清单及备品备件清单.docx</w:t>
            </w:r>
          </w:p>
        </w:tc>
      </w:tr>
      <w:tr>
        <w:tc>
          <w:tcPr>
            <w:tcW w:type="dxa" w:w="831"/>
            <w:vMerge/>
          </w:tcPr>
          <w:p/>
        </w:tc>
        <w:tc>
          <w:tcPr>
            <w:tcW w:type="dxa" w:w="1661"/>
          </w:tcPr>
          <w:p>
            <w:pPr>
              <w:pStyle w:val="null3"/>
            </w:pPr>
            <w:r>
              <w:rPr>
                <w:rFonts w:ascii="仿宋_GB2312" w:hAnsi="仿宋_GB2312" w:cs="仿宋_GB2312" w:eastAsia="仿宋_GB2312"/>
              </w:rPr>
              <w:t>主要部件、配件、配套设备（主要指须具备医疗产品注册许可证或备案证的产品）来源渠道来源证明资料</w:t>
            </w:r>
          </w:p>
        </w:tc>
        <w:tc>
          <w:tcPr>
            <w:tcW w:type="dxa" w:w="2492"/>
          </w:tcPr>
          <w:p>
            <w:pPr>
              <w:pStyle w:val="null3"/>
            </w:pPr>
            <w:r>
              <w:rPr>
                <w:rFonts w:ascii="仿宋_GB2312" w:hAnsi="仿宋_GB2312" w:cs="仿宋_GB2312" w:eastAsia="仿宋_GB2312"/>
              </w:rPr>
              <w:t>根据供应商针对本项目配备合法、稳定的主要部件、配件、配套设备（主要指须具备医疗产品注册许可证或备案证的产品）来源渠道进行评审： 供应商拟投入设备维修及更换的相关部件（或配件、配套设备）无假货、水货、翻新件且无产权纠纷（提供承诺函，格式自拟）并提供相关来源渠道合法证明文件完整、清晰，能完全够保障本项目实施且承诺函内容完善的得3.1-6分； 供应商拟投入设备维修及更换的相关部件（或配件、配套设备）无假货、水货、翻新件且无产权纠纷（提供承诺函，格式自拟）并提供相关来源渠道合法证明文件相对完整，但有部分缺失，但承诺函内容完善的得1.1-3分； 供应商承诺函及相关来源渠道合法证明文件缺项、漏项无法保障维保质量的得0-1分； 未提供承诺函及相关来源渠道合法证明文件的得0分。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主要部件、配件、配套设备.docx</w:t>
            </w:r>
          </w:p>
        </w:tc>
      </w:tr>
      <w:tr>
        <w:tc>
          <w:tcPr>
            <w:tcW w:type="dxa" w:w="831"/>
            <w:vMerge/>
          </w:tcPr>
          <w:p/>
        </w:tc>
        <w:tc>
          <w:tcPr>
            <w:tcW w:type="dxa" w:w="1661"/>
          </w:tcPr>
          <w:p>
            <w:pPr>
              <w:pStyle w:val="null3"/>
            </w:pPr>
            <w:r>
              <w:rPr>
                <w:rFonts w:ascii="仿宋_GB2312" w:hAnsi="仿宋_GB2312" w:cs="仿宋_GB2312" w:eastAsia="仿宋_GB2312"/>
              </w:rPr>
              <w:t>现场故障响应及在线服务响应承诺1</w:t>
            </w:r>
          </w:p>
        </w:tc>
        <w:tc>
          <w:tcPr>
            <w:tcW w:type="dxa" w:w="2492"/>
          </w:tcPr>
          <w:p>
            <w:pPr>
              <w:pStyle w:val="null3"/>
            </w:pPr>
            <w:r>
              <w:rPr>
                <w:rFonts w:ascii="仿宋_GB2312" w:hAnsi="仿宋_GB2312" w:cs="仿宋_GB2312" w:eastAsia="仿宋_GB2312"/>
              </w:rPr>
              <w:t>1.根据供应商针对本项目提供的现场故障维修服务响应时间服务承诺进行评审： 现场故障维修服务响应时间≤4个小时到达现场，能够保证医院设备问题得到及时处理的得4分； 现场故障维修服务响应时间＞4个小时到达现场的得2分； 评审依据：供应商应提供的现场故障维修服务响应承诺函，并加盖单位公章，格式自拟。</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现场故障响应及在线服务响应承诺.docx</w:t>
            </w:r>
          </w:p>
        </w:tc>
      </w:tr>
      <w:tr>
        <w:tc>
          <w:tcPr>
            <w:tcW w:type="dxa" w:w="831"/>
            <w:vMerge/>
          </w:tcPr>
          <w:p/>
        </w:tc>
        <w:tc>
          <w:tcPr>
            <w:tcW w:type="dxa" w:w="1661"/>
          </w:tcPr>
          <w:p>
            <w:pPr>
              <w:pStyle w:val="null3"/>
            </w:pPr>
            <w:r>
              <w:rPr>
                <w:rFonts w:ascii="仿宋_GB2312" w:hAnsi="仿宋_GB2312" w:cs="仿宋_GB2312" w:eastAsia="仿宋_GB2312"/>
              </w:rPr>
              <w:t>现场故障响应及在线服务响应承诺2</w:t>
            </w:r>
          </w:p>
        </w:tc>
        <w:tc>
          <w:tcPr>
            <w:tcW w:type="dxa" w:w="2492"/>
          </w:tcPr>
          <w:p>
            <w:pPr>
              <w:pStyle w:val="null3"/>
            </w:pPr>
            <w:r>
              <w:rPr>
                <w:rFonts w:ascii="仿宋_GB2312" w:hAnsi="仿宋_GB2312" w:cs="仿宋_GB2312" w:eastAsia="仿宋_GB2312"/>
              </w:rPr>
              <w:t>2.根据供应商针对本项目提供的在线服务响应时间服务承诺进行评审： 供应商提供在线技术支持服务，在线工程师在接到保修电话后≤30分钟内做出电话响应，能够保证医院设备问题得到及时处理的得4分； 供应商提供在线技术支持服务，在线工程师在接到保修电话后＞30分钟内做出电话响应的得2分。 评审依据：提供在线服务响应时间响应承诺函，并加盖单位公章，格式自拟。</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现场故障响应及在线服务响应承诺.docx</w:t>
            </w:r>
          </w:p>
        </w:tc>
      </w:tr>
      <w:tr>
        <w:tc>
          <w:tcPr>
            <w:tcW w:type="dxa" w:w="831"/>
            <w:vMerge/>
          </w:tcPr>
          <w:p/>
        </w:tc>
        <w:tc>
          <w:tcPr>
            <w:tcW w:type="dxa" w:w="1661"/>
          </w:tcPr>
          <w:p>
            <w:pPr>
              <w:pStyle w:val="null3"/>
            </w:pPr>
            <w:r>
              <w:rPr>
                <w:rFonts w:ascii="仿宋_GB2312" w:hAnsi="仿宋_GB2312" w:cs="仿宋_GB2312" w:eastAsia="仿宋_GB2312"/>
              </w:rPr>
              <w:t>拟投入本项目团队人员的配置情况及岗位职责分工1</w:t>
            </w:r>
          </w:p>
        </w:tc>
        <w:tc>
          <w:tcPr>
            <w:tcW w:type="dxa" w:w="2492"/>
          </w:tcPr>
          <w:p>
            <w:pPr>
              <w:pStyle w:val="null3"/>
            </w:pPr>
            <w:r>
              <w:rPr>
                <w:rFonts w:ascii="仿宋_GB2312" w:hAnsi="仿宋_GB2312" w:cs="仿宋_GB2312" w:eastAsia="仿宋_GB2312"/>
              </w:rPr>
              <w:t>1.供应商针对本项目拟投入3名维保工程师的得3分；在此基础上每多提供一名维保工程师的得1分，最多得3分，未提供或提供证明资料不全的不得分。 评审依据：提供工程师证明资料及在供应商本单位缴纳至少3个月的社保证明资料。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拟投入本项目团队人员的配置情况及岗位职责分工.docx</w:t>
            </w:r>
          </w:p>
        </w:tc>
      </w:tr>
      <w:tr>
        <w:tc>
          <w:tcPr>
            <w:tcW w:type="dxa" w:w="831"/>
            <w:vMerge/>
          </w:tcPr>
          <w:p/>
        </w:tc>
        <w:tc>
          <w:tcPr>
            <w:tcW w:type="dxa" w:w="1661"/>
          </w:tcPr>
          <w:p>
            <w:pPr>
              <w:pStyle w:val="null3"/>
            </w:pPr>
            <w:r>
              <w:rPr>
                <w:rFonts w:ascii="仿宋_GB2312" w:hAnsi="仿宋_GB2312" w:cs="仿宋_GB2312" w:eastAsia="仿宋_GB2312"/>
              </w:rPr>
              <w:t>拟投入本项目团队人员的配置情况及岗位职责分工2</w:t>
            </w:r>
          </w:p>
        </w:tc>
        <w:tc>
          <w:tcPr>
            <w:tcW w:type="dxa" w:w="2492"/>
          </w:tcPr>
          <w:p>
            <w:pPr>
              <w:pStyle w:val="null3"/>
            </w:pPr>
            <w:r>
              <w:rPr>
                <w:rFonts w:ascii="仿宋_GB2312" w:hAnsi="仿宋_GB2312" w:cs="仿宋_GB2312" w:eastAsia="仿宋_GB2312"/>
              </w:rPr>
              <w:t>2.根据供应商拟投入本项目团队人员的配置情况以及岗位职责分工进行评审： 供应商拟投入项目组成员的专业搭配合理、人员数量充分，人员职责分工明确，完全能够满足本项目需求的得3.1-6分； 供应商拟投入项目组成员的专业搭配、数量及人员职责分工稍有欠缺，但基本能够满足本项目需求的得1.1-3分； 供应商拟投入项目组成员的专业搭配不匹配、人员数量不充分，人员职责分工不明确，不能满足本项目需求的得0-1分； 供应商未提供的得0分。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拟投入本项目团队人员的配置情况及岗位职责分工.docx</w:t>
            </w:r>
          </w:p>
        </w:tc>
      </w:tr>
      <w:tr>
        <w:tc>
          <w:tcPr>
            <w:tcW w:type="dxa" w:w="831"/>
            <w:vMerge/>
          </w:tcPr>
          <w:p/>
        </w:tc>
        <w:tc>
          <w:tcPr>
            <w:tcW w:type="dxa" w:w="1661"/>
          </w:tcPr>
          <w:p>
            <w:pPr>
              <w:pStyle w:val="null3"/>
            </w:pPr>
            <w:r>
              <w:rPr>
                <w:rFonts w:ascii="仿宋_GB2312" w:hAnsi="仿宋_GB2312" w:cs="仿宋_GB2312" w:eastAsia="仿宋_GB2312"/>
              </w:rPr>
              <w:t>定期预防性检查及评估方案</w:t>
            </w:r>
          </w:p>
        </w:tc>
        <w:tc>
          <w:tcPr>
            <w:tcW w:type="dxa" w:w="2492"/>
          </w:tcPr>
          <w:p>
            <w:pPr>
              <w:pStyle w:val="null3"/>
            </w:pPr>
            <w:r>
              <w:rPr>
                <w:rFonts w:ascii="仿宋_GB2312" w:hAnsi="仿宋_GB2312" w:cs="仿宋_GB2312" w:eastAsia="仿宋_GB2312"/>
              </w:rPr>
              <w:t>根据供应商提供定期预防性检查及评估方案进行评审： 方案内容完善、科学、合理，内容贴合项目实际情况，完全符合采购人使用要求的的3.1-6分； 方案内容稍有欠缺，内容可行性欠缺，但能够保证采购人使用要求的得1.1-3分。 供应商提供的定期预防性检查方案较混乱，缺项、漏项可行性较差得0-1分；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定期预防性检查及评估方案.docx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供应商提供实施过程中可能出现的突发事件、紧急故障、等方面制定应急方案（供应商在所提供方案中应充分考虑业务系统连续性，对本次项目的技术难点、风险进行分析，解决难题，满足系统要求的应急状况措施、有详细应急管理办法，保证运维服务工作有序推进，对技术难点、风险分析准确）进行评审： 应急方案详细可行，内容针对性强，能够确保采购人使用得 3.1-6分； 应急方案相对完整，内容具有一定的针对性，可实施性稍有欠缺，但基本能够保证采购人使用得1.1-3分； 应急方案简单粗略，内容表述不具体，无法完全保障采购人使用得0-1分；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兼容承诺函</w:t>
            </w:r>
          </w:p>
        </w:tc>
        <w:tc>
          <w:tcPr>
            <w:tcW w:type="dxa" w:w="2492"/>
          </w:tcPr>
          <w:p>
            <w:pPr>
              <w:pStyle w:val="null3"/>
            </w:pPr>
            <w:r>
              <w:rPr>
                <w:rFonts w:ascii="仿宋_GB2312" w:hAnsi="仿宋_GB2312" w:cs="仿宋_GB2312" w:eastAsia="仿宋_GB2312"/>
              </w:rPr>
              <w:t>供应商提供的球管、平板探测器、高压发生器、准直器、主机等所有维修备件均应符合行业标准且能够与原设备配套兼容，提供承诺函格式自拟，承诺函内容齐全的得4分，未提供或承诺不齐全的不得分。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兼容承诺函.docx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供应商针对本项目特点，能够提出有价值的合理化建议进行评审： 合理化建议科学、合理，内容具体切实可行，有利于延长设备使用寿命的得3.1-5分； 合理化建议稍有有缺陷，内容简单，但是有利于延长设备使用寿命的得1.1-3分； 合理化建议不科学、不合理，内容简单粗略的得0-1分； 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供应商应提供自2022年7月1日以来同类业绩，每提供一项有效业绩证明材料得2分，最高得10分。(注：以合同签订时间为准，供应商应在响应文件中提供业绩合同复印件或扫描件且加盖单位公章。)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磋商报价采用低价优先法计算，即满足磋商文件要求且最后磋商报价最低的报价为评审基准价，其价格分为满分。其他供应商的价格分统一按照下列公式计算：磋商报价得分=（评标基准价/最后磋商报价×10）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投标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详见附件：总体维修保养服务方案.docx</w:t>
      </w:r>
    </w:p>
    <w:p>
      <w:pPr>
        <w:pStyle w:val="null3"/>
        <w:ind w:firstLine="960"/>
      </w:pPr>
      <w:r>
        <w:rPr>
          <w:rFonts w:ascii="仿宋_GB2312" w:hAnsi="仿宋_GB2312" w:cs="仿宋_GB2312" w:eastAsia="仿宋_GB2312"/>
        </w:rPr>
        <w:t>详见附件：主要部件、配件、配套设备.docx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详见附件：现场故障响应及在线服务响应承诺.docx</w:t>
      </w:r>
    </w:p>
    <w:p>
      <w:pPr>
        <w:pStyle w:val="null3"/>
        <w:ind w:firstLine="960"/>
      </w:pPr>
      <w:r>
        <w:rPr>
          <w:rFonts w:ascii="仿宋_GB2312" w:hAnsi="仿宋_GB2312" w:cs="仿宋_GB2312" w:eastAsia="仿宋_GB2312"/>
        </w:rPr>
        <w:t>详见附件：维修保养制度与操作规范及针对本项目制定的相关措施服务方案.docx</w:t>
      </w:r>
    </w:p>
    <w:p>
      <w:pPr>
        <w:pStyle w:val="null3"/>
        <w:ind w:firstLine="960"/>
      </w:pPr>
      <w:r>
        <w:rPr>
          <w:rFonts w:ascii="仿宋_GB2312" w:hAnsi="仿宋_GB2312" w:cs="仿宋_GB2312" w:eastAsia="仿宋_GB2312"/>
        </w:rPr>
        <w:t>详见附件：维修保养服务质量保证及应对措施.docx</w:t>
      </w:r>
    </w:p>
    <w:p>
      <w:pPr>
        <w:pStyle w:val="null3"/>
        <w:ind w:firstLine="960"/>
      </w:pPr>
      <w:r>
        <w:rPr>
          <w:rFonts w:ascii="仿宋_GB2312" w:hAnsi="仿宋_GB2312" w:cs="仿宋_GB2312" w:eastAsia="仿宋_GB2312"/>
        </w:rPr>
        <w:t>详见附件：维护保养范围、标准、机器清洁及安全检查服务方案.docx</w:t>
      </w:r>
    </w:p>
    <w:p>
      <w:pPr>
        <w:pStyle w:val="null3"/>
        <w:ind w:firstLine="960"/>
      </w:pPr>
      <w:r>
        <w:rPr>
          <w:rFonts w:ascii="仿宋_GB2312" w:hAnsi="仿宋_GB2312" w:cs="仿宋_GB2312" w:eastAsia="仿宋_GB2312"/>
        </w:rPr>
        <w:t>详见附件：维保设备清单及备品备件清单.docx</w:t>
      </w:r>
    </w:p>
    <w:p>
      <w:pPr>
        <w:pStyle w:val="null3"/>
        <w:ind w:firstLine="960"/>
      </w:pPr>
      <w:r>
        <w:rPr>
          <w:rFonts w:ascii="仿宋_GB2312" w:hAnsi="仿宋_GB2312" w:cs="仿宋_GB2312" w:eastAsia="仿宋_GB2312"/>
        </w:rPr>
        <w:t>详见附件：企业业绩.docx</w:t>
      </w:r>
    </w:p>
    <w:p>
      <w:pPr>
        <w:pStyle w:val="null3"/>
        <w:ind w:firstLine="960"/>
      </w:pPr>
      <w:r>
        <w:rPr>
          <w:rFonts w:ascii="仿宋_GB2312" w:hAnsi="仿宋_GB2312" w:cs="仿宋_GB2312" w:eastAsia="仿宋_GB2312"/>
        </w:rPr>
        <w:t>详见附件：拟投入本项目团队人员的配置情况及岗位职责分工.docx</w:t>
      </w:r>
    </w:p>
    <w:p>
      <w:pPr>
        <w:pStyle w:val="null3"/>
        <w:ind w:firstLine="960"/>
      </w:pPr>
      <w:r>
        <w:rPr>
          <w:rFonts w:ascii="仿宋_GB2312" w:hAnsi="仿宋_GB2312" w:cs="仿宋_GB2312" w:eastAsia="仿宋_GB2312"/>
        </w:rPr>
        <w:t>详见附件：兼容承诺函.docx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详见附件：服务需求整体理解.docx</w:t>
      </w:r>
    </w:p>
    <w:p>
      <w:pPr>
        <w:pStyle w:val="null3"/>
        <w:ind w:firstLine="960"/>
      </w:pPr>
      <w:r>
        <w:rPr>
          <w:rFonts w:ascii="仿宋_GB2312" w:hAnsi="仿宋_GB2312" w:cs="仿宋_GB2312" w:eastAsia="仿宋_GB2312"/>
        </w:rPr>
        <w:t>详见附件：定期预防性检查及评估方案.docx</w:t>
      </w:r>
    </w:p>
    <w:p>
      <w:pPr>
        <w:pStyle w:val="null3"/>
        <w:ind w:firstLine="960"/>
      </w:pPr>
      <w:r>
        <w:rPr>
          <w:rFonts w:ascii="仿宋_GB2312" w:hAnsi="仿宋_GB2312" w:cs="仿宋_GB2312" w:eastAsia="仿宋_GB2312"/>
        </w:rPr>
        <w:t>详见附件：供应商应提供的资格证明材料.docx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