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4EEFE">
      <w:pPr>
        <w:spacing w:line="460" w:lineRule="exact"/>
        <w:jc w:val="center"/>
        <w:rPr>
          <w:rFonts w:hint="eastAsia" w:ascii="宋体" w:hAnsi="宋体" w:cs="宋体"/>
          <w:color w:val="auto"/>
          <w:sz w:val="40"/>
          <w:szCs w:val="40"/>
        </w:rPr>
      </w:pPr>
      <w:bookmarkStart w:id="56" w:name="_GoBack"/>
    </w:p>
    <w:p w14:paraId="621F467B">
      <w:pPr>
        <w:spacing w:line="460" w:lineRule="exact"/>
        <w:jc w:val="center"/>
        <w:rPr>
          <w:rFonts w:hint="eastAsia" w:ascii="宋体" w:hAnsi="宋体" w:cs="宋体"/>
          <w:color w:val="auto"/>
          <w:sz w:val="40"/>
          <w:szCs w:val="40"/>
        </w:rPr>
      </w:pPr>
    </w:p>
    <w:p w14:paraId="7F2A75DB">
      <w:pPr>
        <w:spacing w:line="460" w:lineRule="exact"/>
        <w:jc w:val="center"/>
        <w:rPr>
          <w:rFonts w:hint="eastAsia" w:ascii="宋体" w:hAnsi="宋体" w:cs="宋体"/>
          <w:color w:val="auto"/>
          <w:sz w:val="40"/>
          <w:szCs w:val="40"/>
        </w:rPr>
      </w:pPr>
    </w:p>
    <w:p w14:paraId="26FBC4A2">
      <w:pPr>
        <w:spacing w:line="460" w:lineRule="exact"/>
        <w:jc w:val="center"/>
        <w:rPr>
          <w:rFonts w:hint="eastAsia" w:ascii="宋体" w:hAnsi="宋体" w:cs="宋体"/>
          <w:color w:val="auto"/>
          <w:sz w:val="40"/>
          <w:szCs w:val="40"/>
        </w:rPr>
      </w:pPr>
      <w:r>
        <w:rPr>
          <w:rFonts w:hint="eastAsia" w:ascii="宋体" w:hAnsi="宋体" w:cs="宋体"/>
          <w:color w:val="auto"/>
          <w:sz w:val="40"/>
          <w:szCs w:val="40"/>
        </w:rPr>
        <w:t>陕西青年职业学院密集书架采购</w:t>
      </w:r>
    </w:p>
    <w:p w14:paraId="23B335D2">
      <w:pPr>
        <w:spacing w:line="360" w:lineRule="auto"/>
        <w:jc w:val="center"/>
        <w:rPr>
          <w:rFonts w:hint="eastAsia" w:ascii="宋体" w:hAnsi="宋体" w:cs="宋体"/>
          <w:b/>
          <w:bCs/>
          <w:color w:val="auto"/>
          <w:spacing w:val="26"/>
          <w:sz w:val="36"/>
          <w:szCs w:val="36"/>
        </w:rPr>
      </w:pPr>
    </w:p>
    <w:p w14:paraId="2D249142">
      <w:pPr>
        <w:spacing w:line="360" w:lineRule="auto"/>
        <w:jc w:val="center"/>
        <w:rPr>
          <w:rFonts w:hint="eastAsia" w:ascii="宋体" w:hAnsi="宋体" w:cs="宋体"/>
          <w:b/>
          <w:bCs/>
          <w:color w:val="auto"/>
          <w:spacing w:val="26"/>
          <w:sz w:val="84"/>
          <w:szCs w:val="84"/>
        </w:rPr>
      </w:pPr>
    </w:p>
    <w:p w14:paraId="6EE54DE4">
      <w:pPr>
        <w:spacing w:line="360" w:lineRule="auto"/>
        <w:jc w:val="center"/>
        <w:rPr>
          <w:rFonts w:hint="eastAsia" w:ascii="宋体" w:hAnsi="宋体"/>
          <w:b/>
          <w:bCs/>
          <w:color w:val="auto"/>
          <w:sz w:val="84"/>
          <w:szCs w:val="84"/>
        </w:rPr>
      </w:pPr>
      <w:r>
        <w:rPr>
          <w:rFonts w:hint="eastAsia" w:ascii="宋体" w:hAnsi="宋体"/>
          <w:b/>
          <w:bCs/>
          <w:color w:val="auto"/>
          <w:sz w:val="84"/>
          <w:szCs w:val="84"/>
        </w:rPr>
        <w:t>采购合同</w:t>
      </w:r>
    </w:p>
    <w:p w14:paraId="6DEA1784">
      <w:pPr>
        <w:spacing w:line="360" w:lineRule="auto"/>
        <w:jc w:val="center"/>
        <w:rPr>
          <w:rFonts w:hint="eastAsia" w:ascii="宋体" w:hAnsi="宋体"/>
          <w:b/>
          <w:bCs/>
          <w:color w:val="auto"/>
          <w:sz w:val="32"/>
          <w:szCs w:val="32"/>
        </w:rPr>
      </w:pPr>
      <w:r>
        <w:rPr>
          <w:rFonts w:hint="eastAsia" w:ascii="宋体" w:hAnsi="宋体"/>
          <w:b/>
          <w:bCs/>
          <w:color w:val="auto"/>
          <w:sz w:val="32"/>
          <w:szCs w:val="32"/>
        </w:rPr>
        <w:t xml:space="preserve">项目编号： </w:t>
      </w:r>
    </w:p>
    <w:p w14:paraId="48950E2D">
      <w:pPr>
        <w:spacing w:line="360" w:lineRule="auto"/>
        <w:jc w:val="center"/>
        <w:rPr>
          <w:rFonts w:hint="eastAsia" w:ascii="宋体" w:hAnsi="宋体" w:cs="宋体"/>
          <w:b/>
          <w:bCs/>
          <w:color w:val="auto"/>
          <w:spacing w:val="26"/>
          <w:sz w:val="36"/>
          <w:szCs w:val="36"/>
        </w:rPr>
      </w:pPr>
    </w:p>
    <w:p w14:paraId="194DAB7E">
      <w:pPr>
        <w:spacing w:line="360" w:lineRule="auto"/>
        <w:rPr>
          <w:rFonts w:hint="eastAsia" w:ascii="宋体" w:hAnsi="宋体"/>
          <w:b/>
          <w:color w:val="auto"/>
          <w:sz w:val="32"/>
          <w:szCs w:val="32"/>
        </w:rPr>
      </w:pPr>
    </w:p>
    <w:p w14:paraId="53B8BDC4">
      <w:pPr>
        <w:spacing w:line="360" w:lineRule="auto"/>
        <w:rPr>
          <w:rFonts w:hint="eastAsia" w:ascii="宋体" w:hAnsi="宋体"/>
          <w:b/>
          <w:color w:val="auto"/>
          <w:sz w:val="32"/>
          <w:szCs w:val="32"/>
        </w:rPr>
      </w:pPr>
    </w:p>
    <w:p w14:paraId="7154DC7F">
      <w:pPr>
        <w:spacing w:line="360" w:lineRule="auto"/>
        <w:rPr>
          <w:rFonts w:hint="eastAsia" w:ascii="宋体" w:hAnsi="宋体"/>
          <w:b/>
          <w:color w:val="auto"/>
          <w:sz w:val="32"/>
          <w:szCs w:val="32"/>
        </w:rPr>
      </w:pPr>
    </w:p>
    <w:p w14:paraId="5F9BDB3D">
      <w:pPr>
        <w:spacing w:line="360" w:lineRule="auto"/>
        <w:rPr>
          <w:rFonts w:hint="eastAsia" w:ascii="宋体" w:hAnsi="宋体"/>
          <w:b/>
          <w:color w:val="auto"/>
          <w:sz w:val="32"/>
          <w:szCs w:val="32"/>
        </w:rPr>
      </w:pPr>
    </w:p>
    <w:p w14:paraId="79368A99">
      <w:pPr>
        <w:spacing w:line="360" w:lineRule="auto"/>
        <w:rPr>
          <w:rFonts w:hint="eastAsia" w:ascii="宋体" w:hAnsi="宋体"/>
          <w:b/>
          <w:color w:val="auto"/>
          <w:sz w:val="32"/>
          <w:szCs w:val="32"/>
        </w:rPr>
      </w:pPr>
    </w:p>
    <w:p w14:paraId="3C700ED0">
      <w:pPr>
        <w:spacing w:line="360" w:lineRule="auto"/>
        <w:ind w:firstLine="964" w:firstLineChars="300"/>
        <w:rPr>
          <w:rFonts w:hint="eastAsia"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31F50586">
      <w:pPr>
        <w:spacing w:line="360" w:lineRule="auto"/>
        <w:ind w:firstLine="964" w:firstLineChars="300"/>
        <w:rPr>
          <w:rFonts w:hint="eastAsia"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1FE1B5DB">
      <w:pPr>
        <w:spacing w:line="360" w:lineRule="auto"/>
        <w:jc w:val="center"/>
        <w:rPr>
          <w:rFonts w:hint="eastAsia"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310A53AC">
      <w:pPr>
        <w:spacing w:line="360" w:lineRule="auto"/>
        <w:jc w:val="center"/>
        <w:rPr>
          <w:rFonts w:hint="eastAsia"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7438C167">
      <w:pPr>
        <w:pStyle w:val="2"/>
        <w:rPr>
          <w:color w:val="auto"/>
        </w:rPr>
      </w:pPr>
    </w:p>
    <w:p w14:paraId="4060770B">
      <w:pPr>
        <w:spacing w:line="360" w:lineRule="auto"/>
        <w:jc w:val="center"/>
        <w:rPr>
          <w:rFonts w:hint="eastAsia"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4FC3A6C1">
      <w:pPr>
        <w:spacing w:line="360" w:lineRule="auto"/>
        <w:jc w:val="center"/>
        <w:rPr>
          <w:rFonts w:hint="eastAsia" w:ascii="宋体" w:hAnsi="宋体" w:cs="宋体"/>
          <w:b/>
          <w:color w:val="auto"/>
          <w:sz w:val="30"/>
          <w:szCs w:val="30"/>
        </w:rPr>
      </w:pPr>
      <w:r>
        <w:rPr>
          <w:rFonts w:hint="eastAsia" w:ascii="宋体" w:hAnsi="宋体" w:cs="宋体"/>
          <w:b/>
          <w:color w:val="auto"/>
          <w:sz w:val="44"/>
          <w:szCs w:val="44"/>
        </w:rPr>
        <w:t>采购合同</w:t>
      </w:r>
    </w:p>
    <w:p w14:paraId="1FE11813">
      <w:pPr>
        <w:spacing w:line="360" w:lineRule="auto"/>
        <w:ind w:firstLine="482" w:firstLineChars="200"/>
        <w:rPr>
          <w:rFonts w:hint="eastAsia" w:ascii="宋体" w:hAnsi="宋体" w:cs="宋体"/>
          <w:b/>
          <w:bCs/>
          <w:color w:val="auto"/>
          <w:sz w:val="24"/>
        </w:rPr>
      </w:pPr>
    </w:p>
    <w:p w14:paraId="19656234">
      <w:pPr>
        <w:spacing w:line="360" w:lineRule="auto"/>
        <w:ind w:firstLine="482" w:firstLineChars="200"/>
        <w:rPr>
          <w:rFonts w:hint="eastAsia" w:ascii="宋体" w:hAnsi="宋体" w:cs="宋体"/>
          <w:b/>
          <w:bCs/>
          <w:color w:val="auto"/>
          <w:sz w:val="24"/>
          <w:u w:val="single"/>
        </w:rPr>
      </w:pPr>
      <w:r>
        <w:rPr>
          <w:rFonts w:hint="eastAsia" w:ascii="宋体" w:hAnsi="宋体" w:cs="宋体"/>
          <w:b/>
          <w:bCs/>
          <w:color w:val="auto"/>
          <w:sz w:val="24"/>
        </w:rPr>
        <w:t>甲    方：</w:t>
      </w:r>
      <w:r>
        <w:rPr>
          <w:rFonts w:hint="eastAsia" w:ascii="宋体" w:hAnsi="宋体" w:cs="宋体"/>
          <w:b/>
          <w:bCs/>
          <w:color w:val="auto"/>
          <w:sz w:val="24"/>
          <w:u w:val="single"/>
        </w:rPr>
        <w:t xml:space="preserve">陕西青年职业学院           </w:t>
      </w:r>
    </w:p>
    <w:p w14:paraId="61751B70">
      <w:pPr>
        <w:spacing w:line="360" w:lineRule="auto"/>
        <w:ind w:firstLine="482" w:firstLineChars="200"/>
        <w:rPr>
          <w:rFonts w:hint="eastAsia" w:ascii="宋体" w:hAnsi="宋体" w:cs="宋体"/>
          <w:b/>
          <w:bCs/>
          <w:color w:val="auto"/>
          <w:sz w:val="24"/>
          <w:u w:val="single"/>
        </w:rPr>
      </w:pPr>
      <w:r>
        <w:rPr>
          <w:rFonts w:hint="eastAsia" w:ascii="宋体" w:hAnsi="宋体" w:cs="宋体"/>
          <w:b/>
          <w:bCs/>
          <w:color w:val="auto"/>
          <w:sz w:val="24"/>
        </w:rPr>
        <w:t>乙    方：</w:t>
      </w:r>
      <w:r>
        <w:rPr>
          <w:rFonts w:hint="eastAsia" w:ascii="宋体" w:hAnsi="宋体" w:cs="宋体"/>
          <w:b/>
          <w:bCs/>
          <w:color w:val="auto"/>
          <w:sz w:val="24"/>
          <w:u w:val="single"/>
        </w:rPr>
        <w:t xml:space="preserve">                           </w:t>
      </w:r>
    </w:p>
    <w:p w14:paraId="64AA7A84">
      <w:pPr>
        <w:shd w:val="clear" w:color="auto" w:fill="FFFFFF"/>
        <w:spacing w:line="360" w:lineRule="auto"/>
        <w:ind w:firstLine="480" w:firstLineChars="200"/>
        <w:rPr>
          <w:rFonts w:hint="eastAsia" w:ascii="宋体" w:hAnsi="宋体" w:cs="宋体"/>
          <w:color w:val="auto"/>
          <w:sz w:val="24"/>
        </w:rPr>
      </w:pPr>
    </w:p>
    <w:p w14:paraId="7B2B0A31">
      <w:pPr>
        <w:shd w:val="clear" w:color="auto" w:fill="FFFFFF"/>
        <w:spacing w:line="360" w:lineRule="auto"/>
        <w:ind w:firstLine="480" w:firstLineChars="200"/>
        <w:rPr>
          <w:rFonts w:hint="eastAsia" w:ascii="宋体" w:hAnsi="宋体" w:cs="宋体"/>
          <w:color w:val="auto"/>
          <w:sz w:val="24"/>
        </w:rPr>
      </w:pPr>
      <w:r>
        <w:rPr>
          <w:rFonts w:hint="eastAsia" w:ascii="宋体" w:hAnsi="宋体" w:cs="宋体"/>
          <w:color w:val="auto"/>
          <w:sz w:val="24"/>
        </w:rPr>
        <w:t>甲方与乙方依据《中华人民共和国民法典》及其他有关法律法规，遵循平等、自愿、公平和诚实信用的原则，甲、乙双方就陕西青年职业学院图书馆密集书架采购项目相关事项达成一致意见，订立本合同。</w:t>
      </w:r>
    </w:p>
    <w:p w14:paraId="3D32FDC0">
      <w:pPr>
        <w:spacing w:line="360" w:lineRule="auto"/>
        <w:rPr>
          <w:rFonts w:hint="eastAsia" w:ascii="宋体" w:hAnsi="宋体" w:cs="宋体"/>
          <w:b/>
          <w:bCs/>
          <w:color w:val="auto"/>
          <w:sz w:val="24"/>
        </w:rPr>
      </w:pPr>
      <w:bookmarkStart w:id="0" w:name="_Toc465510854"/>
      <w:bookmarkStart w:id="1" w:name="_Toc476761649"/>
      <w:bookmarkStart w:id="2" w:name="_Toc467005975"/>
      <w:bookmarkStart w:id="3" w:name="_Toc465511112"/>
      <w:bookmarkStart w:id="4" w:name="_Toc465511157"/>
      <w:bookmarkStart w:id="5" w:name="_Toc466270646"/>
      <w:bookmarkStart w:id="6" w:name="_Toc467005725"/>
      <w:r>
        <w:rPr>
          <w:rFonts w:hint="eastAsia" w:ascii="宋体" w:hAnsi="宋体" w:cs="宋体"/>
          <w:b/>
          <w:bCs/>
          <w:color w:val="auto"/>
          <w:sz w:val="24"/>
        </w:rPr>
        <w:t>一、合同范围</w:t>
      </w:r>
      <w:bookmarkEnd w:id="0"/>
      <w:bookmarkEnd w:id="1"/>
      <w:bookmarkEnd w:id="2"/>
      <w:bookmarkEnd w:id="3"/>
      <w:bookmarkEnd w:id="4"/>
      <w:bookmarkEnd w:id="5"/>
      <w:bookmarkEnd w:id="6"/>
      <w:r>
        <w:rPr>
          <w:rFonts w:hint="eastAsia" w:ascii="宋体" w:hAnsi="宋体" w:cs="宋体"/>
          <w:b/>
          <w:bCs/>
          <w:color w:val="auto"/>
          <w:sz w:val="24"/>
        </w:rPr>
        <w:t>：</w:t>
      </w:r>
    </w:p>
    <w:p w14:paraId="683D83A4">
      <w:pPr>
        <w:spacing w:line="360" w:lineRule="auto"/>
        <w:ind w:firstLine="480" w:firstLineChars="200"/>
        <w:rPr>
          <w:rFonts w:hint="eastAsia" w:ascii="宋体" w:hAnsi="宋体" w:cs="宋体"/>
          <w:color w:val="auto"/>
          <w:sz w:val="24"/>
        </w:rPr>
      </w:pPr>
      <w:r>
        <w:rPr>
          <w:rFonts w:hint="eastAsia" w:ascii="宋体" w:hAnsi="宋体" w:cs="宋体"/>
          <w:color w:val="auto"/>
          <w:sz w:val="24"/>
        </w:rPr>
        <w:t>陕西青年职业学院密集书架采购的招标文件、澄清文件及采购合同所涵盖的全部内容。</w:t>
      </w:r>
    </w:p>
    <w:p w14:paraId="1AF02311">
      <w:pPr>
        <w:spacing w:line="360" w:lineRule="auto"/>
        <w:rPr>
          <w:rFonts w:hint="eastAsia" w:ascii="宋体" w:hAnsi="宋体" w:cs="宋体"/>
          <w:b/>
          <w:bCs/>
          <w:color w:val="auto"/>
          <w:sz w:val="24"/>
        </w:rPr>
      </w:pPr>
      <w:bookmarkStart w:id="7" w:name="_Toc467005727"/>
      <w:bookmarkStart w:id="8" w:name="_Toc467005977"/>
      <w:bookmarkStart w:id="9" w:name="_Toc476761651"/>
      <w:bookmarkStart w:id="10" w:name="_Toc465511114"/>
      <w:bookmarkStart w:id="11" w:name="_Toc465511159"/>
      <w:bookmarkStart w:id="12" w:name="_Toc466270648"/>
      <w:bookmarkStart w:id="13" w:name="_Toc465510856"/>
      <w:r>
        <w:rPr>
          <w:rFonts w:hint="eastAsia" w:ascii="宋体" w:hAnsi="宋体" w:cs="宋体"/>
          <w:b/>
          <w:bCs/>
          <w:color w:val="auto"/>
          <w:sz w:val="24"/>
        </w:rPr>
        <w:t>二、</w:t>
      </w:r>
      <w:bookmarkEnd w:id="7"/>
      <w:bookmarkEnd w:id="8"/>
      <w:bookmarkEnd w:id="9"/>
      <w:bookmarkEnd w:id="10"/>
      <w:bookmarkEnd w:id="11"/>
      <w:bookmarkEnd w:id="12"/>
      <w:bookmarkEnd w:id="13"/>
      <w:r>
        <w:rPr>
          <w:rFonts w:hint="eastAsia" w:ascii="宋体" w:hAnsi="宋体" w:cs="宋体"/>
          <w:b/>
          <w:bCs/>
          <w:color w:val="auto"/>
          <w:sz w:val="24"/>
        </w:rPr>
        <w:t>交货期、交货地点、质量要求及质保期：</w:t>
      </w:r>
    </w:p>
    <w:p w14:paraId="097DF9A7">
      <w:pPr>
        <w:spacing w:line="360" w:lineRule="auto"/>
        <w:ind w:firstLine="480" w:firstLineChars="200"/>
        <w:rPr>
          <w:rFonts w:hint="eastAsia" w:ascii="宋体" w:hAnsi="宋体" w:cs="宋体"/>
          <w:color w:val="auto"/>
          <w:sz w:val="24"/>
        </w:rPr>
      </w:pPr>
      <w:bookmarkStart w:id="14" w:name="_Toc465511115"/>
      <w:bookmarkStart w:id="15" w:name="_Toc465510857"/>
      <w:bookmarkStart w:id="16" w:name="_Toc465511160"/>
      <w:bookmarkStart w:id="17" w:name="_Toc467005978"/>
      <w:bookmarkStart w:id="18" w:name="_Toc476761652"/>
      <w:bookmarkStart w:id="19" w:name="_Toc467005728"/>
      <w:bookmarkStart w:id="20" w:name="_Toc466270649"/>
      <w:r>
        <w:rPr>
          <w:rFonts w:hint="eastAsia" w:ascii="宋体" w:hAnsi="宋体" w:cs="宋体"/>
          <w:bCs/>
          <w:color w:val="auto"/>
          <w:kern w:val="0"/>
          <w:sz w:val="24"/>
        </w:rPr>
        <w:t>交货期</w:t>
      </w:r>
      <w:r>
        <w:rPr>
          <w:rFonts w:hint="eastAsia" w:ascii="宋体" w:hAnsi="宋体" w:cs="宋体"/>
          <w:color w:val="auto"/>
          <w:sz w:val="24"/>
        </w:rPr>
        <w:t>：</w:t>
      </w:r>
      <w:r>
        <w:rPr>
          <w:rFonts w:hint="eastAsia" w:ascii="宋体" w:hAnsi="宋体" w:cs="宋体"/>
          <w:color w:val="auto"/>
          <w:sz w:val="24"/>
          <w:lang w:val="en-GB"/>
        </w:rPr>
        <w:t>合同签订之日起</w:t>
      </w:r>
      <w:r>
        <w:rPr>
          <w:rFonts w:hint="eastAsia" w:ascii="宋体" w:hAnsi="宋体" w:cs="宋体"/>
          <w:color w:val="auto"/>
          <w:sz w:val="24"/>
        </w:rPr>
        <w:t>60</w:t>
      </w:r>
      <w:r>
        <w:rPr>
          <w:rFonts w:hint="eastAsia" w:ascii="宋体" w:hAnsi="宋体" w:cs="宋体"/>
          <w:color w:val="auto"/>
          <w:sz w:val="24"/>
          <w:lang w:val="en-GB"/>
        </w:rPr>
        <w:t>个日历日内</w:t>
      </w:r>
      <w:r>
        <w:rPr>
          <w:rFonts w:hint="eastAsia" w:ascii="宋体" w:hAnsi="宋体" w:cs="宋体"/>
          <w:color w:val="auto"/>
          <w:sz w:val="24"/>
        </w:rPr>
        <w:t>安装调试完毕；</w:t>
      </w:r>
    </w:p>
    <w:p w14:paraId="40DF312B">
      <w:pPr>
        <w:spacing w:line="360" w:lineRule="auto"/>
        <w:ind w:firstLine="480" w:firstLineChars="200"/>
        <w:rPr>
          <w:rFonts w:hint="eastAsia" w:ascii="宋体" w:hAnsi="宋体" w:cs="宋体"/>
          <w:color w:val="auto"/>
          <w:sz w:val="24"/>
        </w:rPr>
      </w:pPr>
      <w:r>
        <w:rPr>
          <w:rFonts w:hint="eastAsia" w:ascii="宋体" w:hAnsi="宋体" w:cs="宋体"/>
          <w:color w:val="auto"/>
          <w:sz w:val="24"/>
        </w:rPr>
        <w:t>交货地点：采购人指定地点；</w:t>
      </w:r>
    </w:p>
    <w:p w14:paraId="4D6E0C9F">
      <w:pPr>
        <w:spacing w:line="360" w:lineRule="auto"/>
        <w:ind w:firstLine="480" w:firstLineChars="200"/>
        <w:rPr>
          <w:rFonts w:hint="eastAsia" w:ascii="宋体" w:hAnsi="宋体" w:cs="宋体"/>
          <w:color w:val="auto"/>
          <w:sz w:val="24"/>
        </w:rPr>
      </w:pPr>
      <w:r>
        <w:rPr>
          <w:rFonts w:hint="eastAsia" w:ascii="宋体" w:hAnsi="宋体" w:cs="宋体"/>
          <w:color w:val="auto"/>
          <w:sz w:val="24"/>
        </w:rPr>
        <w:t>质量要求：合格（达到国家强制性合格标准）；</w:t>
      </w:r>
    </w:p>
    <w:p w14:paraId="11E70CFA">
      <w:pPr>
        <w:spacing w:line="360" w:lineRule="auto"/>
        <w:ind w:firstLine="480" w:firstLineChars="200"/>
        <w:rPr>
          <w:rFonts w:hint="eastAsia" w:ascii="宋体" w:hAnsi="宋体" w:cs="宋体"/>
          <w:bCs/>
          <w:color w:val="auto"/>
          <w:kern w:val="0"/>
          <w:sz w:val="24"/>
        </w:rPr>
      </w:pPr>
      <w:r>
        <w:rPr>
          <w:rFonts w:hint="eastAsia" w:ascii="宋体" w:hAnsi="宋体" w:cs="宋体"/>
          <w:color w:val="auto"/>
          <w:sz w:val="24"/>
        </w:rPr>
        <w:t>质保期：质保期1年，免费维保期10年，终身保修</w:t>
      </w:r>
      <w:r>
        <w:rPr>
          <w:rFonts w:hint="eastAsia" w:ascii="宋体" w:hAnsi="宋体" w:cs="宋体"/>
          <w:bCs/>
          <w:color w:val="auto"/>
          <w:kern w:val="0"/>
          <w:sz w:val="24"/>
        </w:rPr>
        <w:t>。</w:t>
      </w:r>
    </w:p>
    <w:p w14:paraId="67E984CC">
      <w:pPr>
        <w:spacing w:line="360" w:lineRule="auto"/>
        <w:rPr>
          <w:rFonts w:hint="eastAsia" w:ascii="宋体" w:hAnsi="宋体" w:cs="宋体"/>
          <w:b/>
          <w:bCs/>
          <w:color w:val="auto"/>
          <w:sz w:val="24"/>
        </w:rPr>
      </w:pPr>
      <w:r>
        <w:rPr>
          <w:rFonts w:hint="eastAsia" w:ascii="宋体" w:hAnsi="宋体" w:cs="宋体"/>
          <w:b/>
          <w:bCs/>
          <w:color w:val="auto"/>
          <w:sz w:val="24"/>
        </w:rPr>
        <w:t>三、合同文件及解释</w:t>
      </w:r>
      <w:bookmarkEnd w:id="14"/>
      <w:bookmarkEnd w:id="15"/>
      <w:bookmarkEnd w:id="16"/>
      <w:bookmarkEnd w:id="17"/>
      <w:bookmarkEnd w:id="18"/>
      <w:bookmarkEnd w:id="19"/>
      <w:bookmarkEnd w:id="20"/>
    </w:p>
    <w:p w14:paraId="049865DF">
      <w:pPr>
        <w:spacing w:line="360" w:lineRule="auto"/>
        <w:ind w:firstLine="480" w:firstLineChars="200"/>
        <w:rPr>
          <w:rFonts w:hint="eastAsia" w:ascii="宋体" w:hAnsi="宋体" w:cs="宋体"/>
          <w:color w:val="auto"/>
          <w:sz w:val="24"/>
        </w:rPr>
      </w:pPr>
      <w:bookmarkStart w:id="21" w:name="_Toc465511116"/>
      <w:bookmarkStart w:id="22" w:name="_Toc465511161"/>
      <w:bookmarkStart w:id="23" w:name="_Toc468550422"/>
      <w:bookmarkStart w:id="24" w:name="_Toc465510858"/>
      <w:bookmarkStart w:id="25" w:name="_Toc466270650"/>
      <w:bookmarkStart w:id="26" w:name="_Toc476761653"/>
      <w:r>
        <w:rPr>
          <w:rFonts w:hint="eastAsia" w:ascii="宋体" w:hAnsi="宋体" w:cs="宋体"/>
          <w:color w:val="auto"/>
          <w:sz w:val="24"/>
        </w:rPr>
        <w:t>合同协议书</w:t>
      </w:r>
    </w:p>
    <w:p w14:paraId="6588D4BB">
      <w:pPr>
        <w:spacing w:line="360" w:lineRule="auto"/>
        <w:ind w:firstLine="480" w:firstLineChars="200"/>
        <w:rPr>
          <w:rFonts w:hint="eastAsia" w:ascii="宋体" w:hAnsi="宋体" w:cs="宋体"/>
          <w:color w:val="auto"/>
          <w:sz w:val="24"/>
        </w:rPr>
      </w:pPr>
      <w:r>
        <w:rPr>
          <w:rFonts w:hint="eastAsia" w:ascii="宋体" w:hAnsi="宋体" w:cs="宋体"/>
          <w:color w:val="auto"/>
          <w:sz w:val="24"/>
        </w:rPr>
        <w:t>成交通知书</w:t>
      </w:r>
    </w:p>
    <w:p w14:paraId="4D55F707">
      <w:pPr>
        <w:spacing w:line="360" w:lineRule="auto"/>
        <w:ind w:firstLine="480" w:firstLineChars="200"/>
        <w:rPr>
          <w:rFonts w:hint="eastAsia" w:ascii="宋体" w:hAnsi="宋体" w:cs="宋体"/>
          <w:color w:val="auto"/>
          <w:sz w:val="24"/>
        </w:rPr>
      </w:pPr>
      <w:r>
        <w:rPr>
          <w:rFonts w:hint="eastAsia" w:ascii="宋体" w:hAnsi="宋体" w:cs="宋体"/>
          <w:color w:val="auto"/>
          <w:sz w:val="24"/>
          <w:lang w:eastAsia="zh-CN"/>
        </w:rPr>
        <w:t>招标</w:t>
      </w:r>
      <w:r>
        <w:rPr>
          <w:rFonts w:hint="eastAsia" w:ascii="宋体" w:hAnsi="宋体" w:cs="宋体"/>
          <w:color w:val="auto"/>
          <w:sz w:val="24"/>
        </w:rPr>
        <w:t>文件及相关补遗文件</w:t>
      </w:r>
    </w:p>
    <w:p w14:paraId="75F2B35D">
      <w:pPr>
        <w:spacing w:line="360" w:lineRule="auto"/>
        <w:ind w:firstLine="480" w:firstLineChars="200"/>
        <w:rPr>
          <w:rFonts w:hint="eastAsia" w:ascii="宋体" w:hAnsi="宋体" w:cs="宋体"/>
          <w:color w:val="auto"/>
          <w:sz w:val="24"/>
        </w:rPr>
      </w:pPr>
      <w:r>
        <w:rPr>
          <w:rFonts w:hint="eastAsia" w:ascii="宋体" w:hAnsi="宋体" w:cs="宋体"/>
          <w:color w:val="auto"/>
          <w:sz w:val="24"/>
        </w:rPr>
        <w:t>技术标准、规范。</w:t>
      </w:r>
    </w:p>
    <w:p w14:paraId="7AD7DF3B">
      <w:pPr>
        <w:spacing w:line="360" w:lineRule="auto"/>
        <w:ind w:firstLine="480" w:firstLineChars="200"/>
        <w:rPr>
          <w:rFonts w:hint="eastAsia" w:ascii="宋体" w:hAnsi="宋体" w:cs="宋体"/>
          <w:color w:val="auto"/>
          <w:kern w:val="28"/>
          <w:sz w:val="24"/>
        </w:rPr>
      </w:pPr>
      <w:r>
        <w:rPr>
          <w:rFonts w:hint="eastAsia" w:ascii="宋体" w:hAnsi="宋体" w:cs="宋体"/>
          <w:color w:val="auto"/>
          <w:sz w:val="24"/>
        </w:rPr>
        <w:t>其他合同文件</w:t>
      </w:r>
    </w:p>
    <w:p w14:paraId="469BE2BA">
      <w:pPr>
        <w:spacing w:line="360" w:lineRule="auto"/>
        <w:rPr>
          <w:rFonts w:hint="eastAsia" w:ascii="宋体" w:hAnsi="宋体" w:cs="宋体"/>
          <w:b/>
          <w:bCs/>
          <w:color w:val="auto"/>
          <w:sz w:val="24"/>
        </w:rPr>
      </w:pPr>
      <w:r>
        <w:rPr>
          <w:rFonts w:hint="eastAsia" w:ascii="宋体" w:hAnsi="宋体" w:cs="宋体"/>
          <w:b/>
          <w:bCs/>
          <w:color w:val="auto"/>
          <w:sz w:val="24"/>
        </w:rPr>
        <w:t>四、合同价款、结算与支付</w:t>
      </w:r>
      <w:bookmarkEnd w:id="21"/>
      <w:bookmarkEnd w:id="22"/>
      <w:bookmarkEnd w:id="23"/>
      <w:bookmarkEnd w:id="24"/>
      <w:bookmarkEnd w:id="25"/>
      <w:bookmarkEnd w:id="26"/>
    </w:p>
    <w:p w14:paraId="6555E2FE">
      <w:pPr>
        <w:spacing w:line="360" w:lineRule="auto"/>
        <w:rPr>
          <w:rFonts w:hint="eastAsia" w:ascii="宋体" w:hAnsi="宋体" w:cs="宋体"/>
          <w:color w:val="auto"/>
          <w:sz w:val="24"/>
        </w:rPr>
      </w:pPr>
      <w:r>
        <w:rPr>
          <w:rFonts w:hint="eastAsia" w:ascii="宋体" w:hAnsi="宋体" w:cs="宋体"/>
          <w:color w:val="auto"/>
          <w:sz w:val="24"/>
        </w:rPr>
        <w:t>1、本合同固定总价合同</w:t>
      </w:r>
    </w:p>
    <w:p w14:paraId="2AF219EB">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本合同总价款：</w:t>
      </w:r>
      <w:r>
        <w:rPr>
          <w:rFonts w:hint="eastAsia" w:ascii="宋体" w:hAnsi="宋体" w:cs="宋体"/>
          <w:color w:val="auto"/>
          <w:kern w:val="28"/>
          <w:sz w:val="24"/>
          <w:u w:val="single"/>
        </w:rPr>
        <w:t>人民</w:t>
      </w:r>
      <w:r>
        <w:rPr>
          <w:rFonts w:hint="eastAsia" w:ascii="宋体" w:hAnsi="宋体" w:cs="宋体"/>
          <w:color w:val="auto"/>
          <w:sz w:val="24"/>
          <w:u w:val="single"/>
        </w:rPr>
        <w:t>币大写：         （RMB         ）。</w:t>
      </w:r>
      <w:r>
        <w:rPr>
          <w:rFonts w:hint="eastAsia" w:ascii="宋体" w:hAnsi="宋体" w:cs="宋体"/>
          <w:color w:val="auto"/>
          <w:sz w:val="24"/>
        </w:rPr>
        <w:t>该</w:t>
      </w:r>
      <w:r>
        <w:rPr>
          <w:rFonts w:hint="eastAsia" w:ascii="宋体" w:hAnsi="宋体" w:cs="宋体"/>
          <w:color w:val="auto"/>
          <w:kern w:val="28"/>
          <w:sz w:val="24"/>
        </w:rPr>
        <w:t>总价包括但不限于：人工费、包装、运输、仓储、保管、装卸（卸货至甲方指定地点）、保险、税金、利润、运杂费（含保险）、措施费、市场价格风险、社会干扰因素排除费用在内等一切费用。</w:t>
      </w:r>
    </w:p>
    <w:tbl>
      <w:tblPr>
        <w:tblStyle w:val="5"/>
        <w:tblpPr w:leftFromText="180" w:rightFromText="180" w:vertAnchor="text" w:horzAnchor="margin" w:tblpXSpec="center" w:tblpY="163"/>
        <w:tblW w:w="4997" w:type="pct"/>
        <w:jc w:val="center"/>
        <w:tblLayout w:type="autofit"/>
        <w:tblCellMar>
          <w:top w:w="0" w:type="dxa"/>
          <w:left w:w="108" w:type="dxa"/>
          <w:bottom w:w="0" w:type="dxa"/>
          <w:right w:w="108" w:type="dxa"/>
        </w:tblCellMar>
      </w:tblPr>
      <w:tblGrid>
        <w:gridCol w:w="407"/>
        <w:gridCol w:w="1072"/>
        <w:gridCol w:w="1382"/>
        <w:gridCol w:w="1131"/>
        <w:gridCol w:w="1130"/>
        <w:gridCol w:w="629"/>
        <w:gridCol w:w="629"/>
        <w:gridCol w:w="1070"/>
        <w:gridCol w:w="1067"/>
      </w:tblGrid>
      <w:tr w14:paraId="6E56AB7C">
        <w:tblPrEx>
          <w:tblCellMar>
            <w:top w:w="0" w:type="dxa"/>
            <w:left w:w="108" w:type="dxa"/>
            <w:bottom w:w="0" w:type="dxa"/>
            <w:right w:w="108" w:type="dxa"/>
          </w:tblCellMar>
        </w:tblPrEx>
        <w:trPr>
          <w:trHeight w:val="953" w:hRule="exact"/>
          <w:jc w:val="center"/>
        </w:trPr>
        <w:tc>
          <w:tcPr>
            <w:tcW w:w="239" w:type="pct"/>
            <w:tcBorders>
              <w:top w:val="single" w:color="auto" w:sz="4" w:space="0"/>
              <w:left w:val="single" w:color="auto" w:sz="4" w:space="0"/>
              <w:bottom w:val="single" w:color="auto" w:sz="4" w:space="0"/>
              <w:right w:val="single" w:color="auto" w:sz="4" w:space="0"/>
            </w:tcBorders>
            <w:vAlign w:val="center"/>
          </w:tcPr>
          <w:p w14:paraId="24D91893">
            <w:pPr>
              <w:widowControl/>
              <w:spacing w:line="360" w:lineRule="auto"/>
              <w:ind w:left="-105" w:leftChars="-50" w:right="-57"/>
              <w:jc w:val="center"/>
              <w:rPr>
                <w:rFonts w:hint="eastAsia" w:ascii="宋体" w:hAnsi="宋体" w:cs="宋体"/>
                <w:color w:val="auto"/>
                <w:kern w:val="0"/>
                <w:sz w:val="24"/>
              </w:rPr>
            </w:pPr>
            <w:bookmarkStart w:id="27" w:name="_Toc9057"/>
            <w:r>
              <w:rPr>
                <w:rFonts w:hint="eastAsia" w:ascii="宋体" w:hAnsi="宋体" w:cs="宋体"/>
                <w:color w:val="auto"/>
                <w:kern w:val="0"/>
                <w:sz w:val="24"/>
              </w:rPr>
              <w:t>序号</w:t>
            </w:r>
          </w:p>
        </w:tc>
        <w:tc>
          <w:tcPr>
            <w:tcW w:w="629" w:type="pct"/>
            <w:tcBorders>
              <w:top w:val="single" w:color="auto" w:sz="4" w:space="0"/>
              <w:left w:val="nil"/>
              <w:bottom w:val="single" w:color="auto" w:sz="4" w:space="0"/>
              <w:right w:val="single" w:color="auto" w:sz="4" w:space="0"/>
            </w:tcBorders>
            <w:vAlign w:val="center"/>
          </w:tcPr>
          <w:p w14:paraId="37908ED4">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货物名称</w:t>
            </w:r>
          </w:p>
        </w:tc>
        <w:tc>
          <w:tcPr>
            <w:tcW w:w="811" w:type="pct"/>
            <w:tcBorders>
              <w:top w:val="single" w:color="auto" w:sz="4" w:space="0"/>
              <w:left w:val="nil"/>
              <w:bottom w:val="single" w:color="auto" w:sz="4" w:space="0"/>
              <w:right w:val="single" w:color="auto" w:sz="4" w:space="0"/>
            </w:tcBorders>
            <w:vAlign w:val="center"/>
          </w:tcPr>
          <w:p w14:paraId="3FC4232C">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规格型号</w:t>
            </w:r>
          </w:p>
        </w:tc>
        <w:tc>
          <w:tcPr>
            <w:tcW w:w="664" w:type="pct"/>
            <w:tcBorders>
              <w:top w:val="single" w:color="auto" w:sz="4" w:space="0"/>
              <w:left w:val="nil"/>
              <w:bottom w:val="single" w:color="auto" w:sz="4" w:space="0"/>
              <w:right w:val="single" w:color="auto" w:sz="4" w:space="0"/>
            </w:tcBorders>
            <w:vAlign w:val="center"/>
          </w:tcPr>
          <w:p w14:paraId="628625C0">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品牌</w:t>
            </w:r>
          </w:p>
        </w:tc>
        <w:tc>
          <w:tcPr>
            <w:tcW w:w="663" w:type="pct"/>
            <w:tcBorders>
              <w:top w:val="single" w:color="auto" w:sz="4" w:space="0"/>
              <w:left w:val="nil"/>
              <w:bottom w:val="single" w:color="auto" w:sz="4" w:space="0"/>
              <w:right w:val="single" w:color="auto" w:sz="4" w:space="0"/>
            </w:tcBorders>
            <w:vAlign w:val="center"/>
          </w:tcPr>
          <w:p w14:paraId="4F631DA0">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28746C07">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单位</w:t>
            </w:r>
          </w:p>
        </w:tc>
        <w:tc>
          <w:tcPr>
            <w:tcW w:w="369" w:type="pct"/>
            <w:tcBorders>
              <w:top w:val="single" w:color="auto" w:sz="4" w:space="0"/>
              <w:left w:val="nil"/>
              <w:bottom w:val="single" w:color="auto" w:sz="4" w:space="0"/>
              <w:right w:val="single" w:color="auto" w:sz="4" w:space="0"/>
            </w:tcBorders>
            <w:vAlign w:val="center"/>
          </w:tcPr>
          <w:p w14:paraId="15610769">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数量</w:t>
            </w:r>
          </w:p>
        </w:tc>
        <w:tc>
          <w:tcPr>
            <w:tcW w:w="626" w:type="pct"/>
            <w:tcBorders>
              <w:top w:val="single" w:color="auto" w:sz="4" w:space="0"/>
              <w:left w:val="nil"/>
              <w:bottom w:val="single" w:color="auto" w:sz="4" w:space="0"/>
              <w:right w:val="single" w:color="auto" w:sz="4" w:space="0"/>
            </w:tcBorders>
            <w:vAlign w:val="center"/>
          </w:tcPr>
          <w:p w14:paraId="466609D5">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单价</w:t>
            </w:r>
          </w:p>
          <w:p w14:paraId="5393FD2E">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（元）</w:t>
            </w:r>
          </w:p>
        </w:tc>
        <w:tc>
          <w:tcPr>
            <w:tcW w:w="626" w:type="pct"/>
            <w:tcBorders>
              <w:top w:val="single" w:color="auto" w:sz="4" w:space="0"/>
              <w:left w:val="nil"/>
              <w:bottom w:val="single" w:color="auto" w:sz="4" w:space="0"/>
              <w:right w:val="single" w:color="auto" w:sz="4" w:space="0"/>
            </w:tcBorders>
            <w:vAlign w:val="center"/>
          </w:tcPr>
          <w:p w14:paraId="6F64AE84">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总价</w:t>
            </w:r>
          </w:p>
          <w:p w14:paraId="0487F1DF">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（元）</w:t>
            </w:r>
          </w:p>
        </w:tc>
      </w:tr>
      <w:tr w14:paraId="2BD35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0DFDAC16">
            <w:pPr>
              <w:rPr>
                <w:rFonts w:hint="eastAsia" w:ascii="宋体" w:hAnsi="宋体" w:cs="宋体"/>
                <w:color w:val="auto"/>
                <w:sz w:val="24"/>
              </w:rPr>
            </w:pPr>
          </w:p>
        </w:tc>
        <w:tc>
          <w:tcPr>
            <w:tcW w:w="629" w:type="pct"/>
          </w:tcPr>
          <w:p w14:paraId="57BF7B2B">
            <w:pPr>
              <w:rPr>
                <w:rFonts w:hint="eastAsia" w:ascii="宋体" w:hAnsi="宋体" w:cs="宋体"/>
                <w:color w:val="auto"/>
                <w:sz w:val="24"/>
              </w:rPr>
            </w:pPr>
          </w:p>
        </w:tc>
        <w:tc>
          <w:tcPr>
            <w:tcW w:w="811" w:type="pct"/>
            <w:vAlign w:val="center"/>
          </w:tcPr>
          <w:p w14:paraId="67E4FCC8">
            <w:pPr>
              <w:rPr>
                <w:rFonts w:hint="eastAsia" w:ascii="宋体" w:hAnsi="宋体" w:cs="宋体"/>
                <w:color w:val="auto"/>
                <w:sz w:val="24"/>
              </w:rPr>
            </w:pPr>
          </w:p>
        </w:tc>
        <w:tc>
          <w:tcPr>
            <w:tcW w:w="664" w:type="pct"/>
            <w:vAlign w:val="center"/>
          </w:tcPr>
          <w:p w14:paraId="56C26E87">
            <w:pPr>
              <w:rPr>
                <w:rFonts w:hint="eastAsia" w:ascii="宋体" w:hAnsi="宋体" w:cs="宋体"/>
                <w:color w:val="auto"/>
                <w:sz w:val="24"/>
              </w:rPr>
            </w:pPr>
          </w:p>
        </w:tc>
        <w:tc>
          <w:tcPr>
            <w:tcW w:w="663" w:type="pct"/>
            <w:vAlign w:val="center"/>
          </w:tcPr>
          <w:p w14:paraId="7C172421">
            <w:pPr>
              <w:rPr>
                <w:rFonts w:hint="eastAsia" w:ascii="宋体" w:hAnsi="宋体" w:cs="宋体"/>
                <w:color w:val="auto"/>
                <w:sz w:val="24"/>
              </w:rPr>
            </w:pPr>
          </w:p>
        </w:tc>
        <w:tc>
          <w:tcPr>
            <w:tcW w:w="369" w:type="pct"/>
          </w:tcPr>
          <w:p w14:paraId="1ED20631">
            <w:pPr>
              <w:rPr>
                <w:rFonts w:hint="eastAsia" w:ascii="宋体" w:hAnsi="宋体" w:cs="宋体"/>
                <w:color w:val="auto"/>
                <w:sz w:val="24"/>
              </w:rPr>
            </w:pPr>
          </w:p>
          <w:p w14:paraId="7A44578B">
            <w:pPr>
              <w:rPr>
                <w:rFonts w:hint="eastAsia" w:ascii="宋体" w:hAnsi="宋体" w:cs="宋体"/>
                <w:color w:val="auto"/>
                <w:sz w:val="24"/>
              </w:rPr>
            </w:pPr>
          </w:p>
        </w:tc>
        <w:tc>
          <w:tcPr>
            <w:tcW w:w="369" w:type="pct"/>
            <w:vAlign w:val="center"/>
          </w:tcPr>
          <w:p w14:paraId="2ADF7638">
            <w:pPr>
              <w:rPr>
                <w:rFonts w:hint="eastAsia" w:ascii="宋体" w:hAnsi="宋体" w:cs="宋体"/>
                <w:color w:val="auto"/>
                <w:sz w:val="24"/>
              </w:rPr>
            </w:pPr>
          </w:p>
        </w:tc>
        <w:tc>
          <w:tcPr>
            <w:tcW w:w="626" w:type="pct"/>
            <w:vAlign w:val="center"/>
          </w:tcPr>
          <w:p w14:paraId="59C70C99">
            <w:pPr>
              <w:rPr>
                <w:rFonts w:hint="eastAsia" w:ascii="宋体" w:hAnsi="宋体" w:cs="宋体"/>
                <w:color w:val="auto"/>
                <w:sz w:val="24"/>
              </w:rPr>
            </w:pPr>
          </w:p>
        </w:tc>
        <w:tc>
          <w:tcPr>
            <w:tcW w:w="626" w:type="pct"/>
            <w:vAlign w:val="center"/>
          </w:tcPr>
          <w:p w14:paraId="443B23A5">
            <w:pPr>
              <w:rPr>
                <w:rFonts w:hint="eastAsia" w:ascii="宋体" w:hAnsi="宋体" w:cs="宋体"/>
                <w:color w:val="auto"/>
                <w:sz w:val="24"/>
              </w:rPr>
            </w:pPr>
          </w:p>
        </w:tc>
      </w:tr>
      <w:tr w14:paraId="1588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65D15657">
            <w:pPr>
              <w:rPr>
                <w:rFonts w:hint="eastAsia" w:ascii="宋体" w:hAnsi="宋体" w:cs="宋体"/>
                <w:color w:val="auto"/>
                <w:sz w:val="24"/>
              </w:rPr>
            </w:pPr>
          </w:p>
        </w:tc>
        <w:tc>
          <w:tcPr>
            <w:tcW w:w="629" w:type="pct"/>
          </w:tcPr>
          <w:p w14:paraId="2AEA3D52">
            <w:pPr>
              <w:rPr>
                <w:rFonts w:hint="eastAsia" w:ascii="宋体" w:hAnsi="宋体" w:cs="宋体"/>
                <w:color w:val="auto"/>
                <w:sz w:val="24"/>
              </w:rPr>
            </w:pPr>
          </w:p>
        </w:tc>
        <w:tc>
          <w:tcPr>
            <w:tcW w:w="811" w:type="pct"/>
          </w:tcPr>
          <w:p w14:paraId="773F33F9">
            <w:pPr>
              <w:rPr>
                <w:rFonts w:hint="eastAsia" w:ascii="宋体" w:hAnsi="宋体" w:cs="宋体"/>
                <w:color w:val="auto"/>
                <w:sz w:val="24"/>
              </w:rPr>
            </w:pPr>
          </w:p>
        </w:tc>
        <w:tc>
          <w:tcPr>
            <w:tcW w:w="664" w:type="pct"/>
            <w:vAlign w:val="center"/>
          </w:tcPr>
          <w:p w14:paraId="4EB9D8B5">
            <w:pPr>
              <w:rPr>
                <w:rFonts w:hint="eastAsia" w:ascii="宋体" w:hAnsi="宋体" w:cs="宋体"/>
                <w:color w:val="auto"/>
                <w:sz w:val="24"/>
              </w:rPr>
            </w:pPr>
          </w:p>
        </w:tc>
        <w:tc>
          <w:tcPr>
            <w:tcW w:w="663" w:type="pct"/>
            <w:vAlign w:val="center"/>
          </w:tcPr>
          <w:p w14:paraId="4ABB7E55">
            <w:pPr>
              <w:rPr>
                <w:rFonts w:hint="eastAsia" w:ascii="宋体" w:hAnsi="宋体" w:cs="宋体"/>
                <w:color w:val="auto"/>
                <w:sz w:val="24"/>
              </w:rPr>
            </w:pPr>
          </w:p>
        </w:tc>
        <w:tc>
          <w:tcPr>
            <w:tcW w:w="369" w:type="pct"/>
          </w:tcPr>
          <w:p w14:paraId="15EA4FE8">
            <w:pPr>
              <w:rPr>
                <w:rFonts w:hint="eastAsia" w:ascii="宋体" w:hAnsi="宋体" w:cs="宋体"/>
                <w:color w:val="auto"/>
                <w:sz w:val="24"/>
              </w:rPr>
            </w:pPr>
          </w:p>
        </w:tc>
        <w:tc>
          <w:tcPr>
            <w:tcW w:w="369" w:type="pct"/>
            <w:vAlign w:val="center"/>
          </w:tcPr>
          <w:p w14:paraId="590846A1">
            <w:pPr>
              <w:rPr>
                <w:rFonts w:hint="eastAsia" w:ascii="宋体" w:hAnsi="宋体" w:cs="宋体"/>
                <w:color w:val="auto"/>
                <w:sz w:val="24"/>
              </w:rPr>
            </w:pPr>
          </w:p>
        </w:tc>
        <w:tc>
          <w:tcPr>
            <w:tcW w:w="626" w:type="pct"/>
          </w:tcPr>
          <w:p w14:paraId="2D8A760A">
            <w:pPr>
              <w:rPr>
                <w:rFonts w:hint="eastAsia" w:ascii="宋体" w:hAnsi="宋体" w:cs="宋体"/>
                <w:color w:val="auto"/>
                <w:sz w:val="24"/>
              </w:rPr>
            </w:pPr>
          </w:p>
        </w:tc>
        <w:tc>
          <w:tcPr>
            <w:tcW w:w="626" w:type="pct"/>
          </w:tcPr>
          <w:p w14:paraId="33DF3886">
            <w:pPr>
              <w:rPr>
                <w:rFonts w:hint="eastAsia" w:ascii="宋体" w:hAnsi="宋体" w:cs="宋体"/>
                <w:color w:val="auto"/>
                <w:sz w:val="24"/>
              </w:rPr>
            </w:pPr>
          </w:p>
        </w:tc>
      </w:tr>
      <w:tr w14:paraId="78A43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242C3A59">
            <w:pPr>
              <w:rPr>
                <w:rFonts w:hint="eastAsia" w:ascii="宋体" w:hAnsi="宋体" w:cs="宋体"/>
                <w:color w:val="auto"/>
                <w:sz w:val="24"/>
              </w:rPr>
            </w:pPr>
          </w:p>
        </w:tc>
        <w:tc>
          <w:tcPr>
            <w:tcW w:w="629" w:type="pct"/>
          </w:tcPr>
          <w:p w14:paraId="4FC73BCD">
            <w:pPr>
              <w:rPr>
                <w:rFonts w:hint="eastAsia" w:ascii="宋体" w:hAnsi="宋体" w:cs="宋体"/>
                <w:color w:val="auto"/>
                <w:sz w:val="24"/>
              </w:rPr>
            </w:pPr>
          </w:p>
        </w:tc>
        <w:tc>
          <w:tcPr>
            <w:tcW w:w="811" w:type="pct"/>
          </w:tcPr>
          <w:p w14:paraId="294E0EA7">
            <w:pPr>
              <w:rPr>
                <w:rFonts w:hint="eastAsia" w:ascii="宋体" w:hAnsi="宋体" w:cs="宋体"/>
                <w:color w:val="auto"/>
                <w:sz w:val="24"/>
              </w:rPr>
            </w:pPr>
          </w:p>
        </w:tc>
        <w:tc>
          <w:tcPr>
            <w:tcW w:w="664" w:type="pct"/>
            <w:vAlign w:val="center"/>
          </w:tcPr>
          <w:p w14:paraId="3294D4B7">
            <w:pPr>
              <w:rPr>
                <w:rFonts w:hint="eastAsia" w:ascii="宋体" w:hAnsi="宋体" w:cs="宋体"/>
                <w:color w:val="auto"/>
                <w:sz w:val="24"/>
              </w:rPr>
            </w:pPr>
          </w:p>
        </w:tc>
        <w:tc>
          <w:tcPr>
            <w:tcW w:w="663" w:type="pct"/>
            <w:vAlign w:val="center"/>
          </w:tcPr>
          <w:p w14:paraId="12B1453A">
            <w:pPr>
              <w:rPr>
                <w:rFonts w:hint="eastAsia" w:ascii="宋体" w:hAnsi="宋体" w:cs="宋体"/>
                <w:color w:val="auto"/>
                <w:sz w:val="24"/>
              </w:rPr>
            </w:pPr>
          </w:p>
        </w:tc>
        <w:tc>
          <w:tcPr>
            <w:tcW w:w="369" w:type="pct"/>
          </w:tcPr>
          <w:p w14:paraId="35B98642">
            <w:pPr>
              <w:rPr>
                <w:rFonts w:hint="eastAsia" w:ascii="宋体" w:hAnsi="宋体" w:cs="宋体"/>
                <w:color w:val="auto"/>
                <w:sz w:val="24"/>
              </w:rPr>
            </w:pPr>
          </w:p>
        </w:tc>
        <w:tc>
          <w:tcPr>
            <w:tcW w:w="369" w:type="pct"/>
            <w:vAlign w:val="center"/>
          </w:tcPr>
          <w:p w14:paraId="296050B1">
            <w:pPr>
              <w:rPr>
                <w:rFonts w:hint="eastAsia" w:ascii="宋体" w:hAnsi="宋体" w:cs="宋体"/>
                <w:color w:val="auto"/>
                <w:sz w:val="24"/>
              </w:rPr>
            </w:pPr>
          </w:p>
        </w:tc>
        <w:tc>
          <w:tcPr>
            <w:tcW w:w="626" w:type="pct"/>
          </w:tcPr>
          <w:p w14:paraId="6F047169">
            <w:pPr>
              <w:rPr>
                <w:rFonts w:hint="eastAsia" w:ascii="宋体" w:hAnsi="宋体" w:cs="宋体"/>
                <w:color w:val="auto"/>
                <w:sz w:val="24"/>
              </w:rPr>
            </w:pPr>
          </w:p>
        </w:tc>
        <w:tc>
          <w:tcPr>
            <w:tcW w:w="626" w:type="pct"/>
          </w:tcPr>
          <w:p w14:paraId="187FC48E">
            <w:pPr>
              <w:rPr>
                <w:rFonts w:hint="eastAsia" w:ascii="宋体" w:hAnsi="宋体" w:cs="宋体"/>
                <w:color w:val="auto"/>
                <w:sz w:val="24"/>
              </w:rPr>
            </w:pPr>
          </w:p>
        </w:tc>
      </w:tr>
      <w:tr w14:paraId="114C8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4E9FBF9F">
            <w:pPr>
              <w:rPr>
                <w:rFonts w:hint="eastAsia" w:ascii="宋体" w:hAnsi="宋体" w:cs="宋体"/>
                <w:color w:val="auto"/>
                <w:sz w:val="24"/>
              </w:rPr>
            </w:pPr>
          </w:p>
        </w:tc>
        <w:tc>
          <w:tcPr>
            <w:tcW w:w="629" w:type="pct"/>
          </w:tcPr>
          <w:p w14:paraId="61870F66">
            <w:pPr>
              <w:rPr>
                <w:rFonts w:hint="eastAsia" w:ascii="宋体" w:hAnsi="宋体" w:cs="宋体"/>
                <w:color w:val="auto"/>
                <w:sz w:val="24"/>
              </w:rPr>
            </w:pPr>
          </w:p>
        </w:tc>
        <w:tc>
          <w:tcPr>
            <w:tcW w:w="811" w:type="pct"/>
          </w:tcPr>
          <w:p w14:paraId="1566B7B0">
            <w:pPr>
              <w:rPr>
                <w:rFonts w:hint="eastAsia" w:ascii="宋体" w:hAnsi="宋体" w:cs="宋体"/>
                <w:color w:val="auto"/>
                <w:sz w:val="24"/>
              </w:rPr>
            </w:pPr>
          </w:p>
        </w:tc>
        <w:tc>
          <w:tcPr>
            <w:tcW w:w="664" w:type="pct"/>
            <w:vAlign w:val="center"/>
          </w:tcPr>
          <w:p w14:paraId="20A1A98A">
            <w:pPr>
              <w:rPr>
                <w:rFonts w:hint="eastAsia" w:ascii="宋体" w:hAnsi="宋体" w:cs="宋体"/>
                <w:color w:val="auto"/>
                <w:sz w:val="24"/>
              </w:rPr>
            </w:pPr>
          </w:p>
        </w:tc>
        <w:tc>
          <w:tcPr>
            <w:tcW w:w="663" w:type="pct"/>
            <w:vAlign w:val="center"/>
          </w:tcPr>
          <w:p w14:paraId="74F1DB5C">
            <w:pPr>
              <w:rPr>
                <w:rFonts w:hint="eastAsia" w:ascii="宋体" w:hAnsi="宋体" w:cs="宋体"/>
                <w:color w:val="auto"/>
                <w:sz w:val="24"/>
              </w:rPr>
            </w:pPr>
          </w:p>
        </w:tc>
        <w:tc>
          <w:tcPr>
            <w:tcW w:w="369" w:type="pct"/>
          </w:tcPr>
          <w:p w14:paraId="7D795C84">
            <w:pPr>
              <w:rPr>
                <w:rFonts w:hint="eastAsia" w:ascii="宋体" w:hAnsi="宋体" w:cs="宋体"/>
                <w:color w:val="auto"/>
                <w:sz w:val="24"/>
              </w:rPr>
            </w:pPr>
          </w:p>
        </w:tc>
        <w:tc>
          <w:tcPr>
            <w:tcW w:w="369" w:type="pct"/>
            <w:vAlign w:val="center"/>
          </w:tcPr>
          <w:p w14:paraId="33DF3D26">
            <w:pPr>
              <w:rPr>
                <w:rFonts w:hint="eastAsia" w:ascii="宋体" w:hAnsi="宋体" w:cs="宋体"/>
                <w:color w:val="auto"/>
                <w:sz w:val="24"/>
              </w:rPr>
            </w:pPr>
          </w:p>
        </w:tc>
        <w:tc>
          <w:tcPr>
            <w:tcW w:w="626" w:type="pct"/>
          </w:tcPr>
          <w:p w14:paraId="1639A4C3">
            <w:pPr>
              <w:rPr>
                <w:rFonts w:hint="eastAsia" w:ascii="宋体" w:hAnsi="宋体" w:cs="宋体"/>
                <w:color w:val="auto"/>
                <w:sz w:val="24"/>
              </w:rPr>
            </w:pPr>
          </w:p>
        </w:tc>
        <w:tc>
          <w:tcPr>
            <w:tcW w:w="626" w:type="pct"/>
          </w:tcPr>
          <w:p w14:paraId="3C728B08">
            <w:pPr>
              <w:rPr>
                <w:rFonts w:hint="eastAsia" w:ascii="宋体" w:hAnsi="宋体" w:cs="宋体"/>
                <w:color w:val="auto"/>
                <w:sz w:val="24"/>
              </w:rPr>
            </w:pPr>
          </w:p>
        </w:tc>
      </w:tr>
      <w:tr w14:paraId="719E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3F3B3FD6">
            <w:pPr>
              <w:rPr>
                <w:rFonts w:hint="eastAsia" w:ascii="宋体" w:hAnsi="宋体" w:cs="宋体"/>
                <w:color w:val="auto"/>
                <w:sz w:val="24"/>
              </w:rPr>
            </w:pPr>
          </w:p>
        </w:tc>
        <w:tc>
          <w:tcPr>
            <w:tcW w:w="629" w:type="pct"/>
          </w:tcPr>
          <w:p w14:paraId="5F0CD22D">
            <w:pPr>
              <w:rPr>
                <w:rFonts w:hint="eastAsia" w:ascii="宋体" w:hAnsi="宋体" w:cs="宋体"/>
                <w:color w:val="auto"/>
                <w:sz w:val="24"/>
              </w:rPr>
            </w:pPr>
          </w:p>
        </w:tc>
        <w:tc>
          <w:tcPr>
            <w:tcW w:w="811" w:type="pct"/>
          </w:tcPr>
          <w:p w14:paraId="09E7F599">
            <w:pPr>
              <w:rPr>
                <w:rFonts w:hint="eastAsia" w:ascii="宋体" w:hAnsi="宋体" w:cs="宋体"/>
                <w:color w:val="auto"/>
                <w:sz w:val="24"/>
              </w:rPr>
            </w:pPr>
          </w:p>
        </w:tc>
        <w:tc>
          <w:tcPr>
            <w:tcW w:w="664" w:type="pct"/>
            <w:vAlign w:val="center"/>
          </w:tcPr>
          <w:p w14:paraId="22C59B9E">
            <w:pPr>
              <w:rPr>
                <w:rFonts w:hint="eastAsia" w:ascii="宋体" w:hAnsi="宋体" w:cs="宋体"/>
                <w:color w:val="auto"/>
                <w:sz w:val="24"/>
              </w:rPr>
            </w:pPr>
          </w:p>
        </w:tc>
        <w:tc>
          <w:tcPr>
            <w:tcW w:w="663" w:type="pct"/>
            <w:vAlign w:val="center"/>
          </w:tcPr>
          <w:p w14:paraId="11EFB63F">
            <w:pPr>
              <w:rPr>
                <w:rFonts w:hint="eastAsia" w:ascii="宋体" w:hAnsi="宋体" w:cs="宋体"/>
                <w:color w:val="auto"/>
                <w:sz w:val="24"/>
              </w:rPr>
            </w:pPr>
          </w:p>
        </w:tc>
        <w:tc>
          <w:tcPr>
            <w:tcW w:w="369" w:type="pct"/>
          </w:tcPr>
          <w:p w14:paraId="342F4B0E">
            <w:pPr>
              <w:rPr>
                <w:rFonts w:hint="eastAsia" w:ascii="宋体" w:hAnsi="宋体" w:cs="宋体"/>
                <w:color w:val="auto"/>
                <w:sz w:val="24"/>
              </w:rPr>
            </w:pPr>
          </w:p>
        </w:tc>
        <w:tc>
          <w:tcPr>
            <w:tcW w:w="369" w:type="pct"/>
            <w:vAlign w:val="center"/>
          </w:tcPr>
          <w:p w14:paraId="155F2C75">
            <w:pPr>
              <w:rPr>
                <w:rFonts w:hint="eastAsia" w:ascii="宋体" w:hAnsi="宋体" w:cs="宋体"/>
                <w:color w:val="auto"/>
                <w:sz w:val="24"/>
              </w:rPr>
            </w:pPr>
          </w:p>
        </w:tc>
        <w:tc>
          <w:tcPr>
            <w:tcW w:w="626" w:type="pct"/>
          </w:tcPr>
          <w:p w14:paraId="7F394C35">
            <w:pPr>
              <w:rPr>
                <w:rFonts w:hint="eastAsia" w:ascii="宋体" w:hAnsi="宋体" w:cs="宋体"/>
                <w:color w:val="auto"/>
                <w:sz w:val="24"/>
              </w:rPr>
            </w:pPr>
          </w:p>
        </w:tc>
        <w:tc>
          <w:tcPr>
            <w:tcW w:w="626" w:type="pct"/>
          </w:tcPr>
          <w:p w14:paraId="542D86F0">
            <w:pPr>
              <w:rPr>
                <w:rFonts w:hint="eastAsia" w:ascii="宋体" w:hAnsi="宋体" w:cs="宋体"/>
                <w:color w:val="auto"/>
                <w:sz w:val="24"/>
              </w:rPr>
            </w:pPr>
          </w:p>
        </w:tc>
      </w:tr>
      <w:tr w14:paraId="4D82E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6865023F">
            <w:pPr>
              <w:rPr>
                <w:rFonts w:hint="eastAsia" w:ascii="宋体" w:hAnsi="宋体" w:cs="宋体"/>
                <w:color w:val="auto"/>
                <w:sz w:val="24"/>
              </w:rPr>
            </w:pPr>
          </w:p>
        </w:tc>
        <w:tc>
          <w:tcPr>
            <w:tcW w:w="629" w:type="pct"/>
          </w:tcPr>
          <w:p w14:paraId="06142566">
            <w:pPr>
              <w:rPr>
                <w:rFonts w:hint="eastAsia" w:ascii="宋体" w:hAnsi="宋体" w:cs="宋体"/>
                <w:color w:val="auto"/>
                <w:sz w:val="24"/>
              </w:rPr>
            </w:pPr>
          </w:p>
        </w:tc>
        <w:tc>
          <w:tcPr>
            <w:tcW w:w="811" w:type="pct"/>
          </w:tcPr>
          <w:p w14:paraId="4DEB6CDB">
            <w:pPr>
              <w:rPr>
                <w:rFonts w:hint="eastAsia" w:ascii="宋体" w:hAnsi="宋体" w:cs="宋体"/>
                <w:color w:val="auto"/>
                <w:sz w:val="24"/>
              </w:rPr>
            </w:pPr>
          </w:p>
        </w:tc>
        <w:tc>
          <w:tcPr>
            <w:tcW w:w="664" w:type="pct"/>
            <w:vAlign w:val="center"/>
          </w:tcPr>
          <w:p w14:paraId="5BBBED3E">
            <w:pPr>
              <w:rPr>
                <w:rFonts w:hint="eastAsia" w:ascii="宋体" w:hAnsi="宋体" w:cs="宋体"/>
                <w:color w:val="auto"/>
                <w:sz w:val="24"/>
              </w:rPr>
            </w:pPr>
          </w:p>
        </w:tc>
        <w:tc>
          <w:tcPr>
            <w:tcW w:w="663" w:type="pct"/>
            <w:vAlign w:val="center"/>
          </w:tcPr>
          <w:p w14:paraId="53893BA3">
            <w:pPr>
              <w:rPr>
                <w:rFonts w:hint="eastAsia" w:ascii="宋体" w:hAnsi="宋体" w:cs="宋体"/>
                <w:color w:val="auto"/>
                <w:sz w:val="24"/>
              </w:rPr>
            </w:pPr>
          </w:p>
        </w:tc>
        <w:tc>
          <w:tcPr>
            <w:tcW w:w="369" w:type="pct"/>
          </w:tcPr>
          <w:p w14:paraId="52C1CD6E">
            <w:pPr>
              <w:rPr>
                <w:rFonts w:hint="eastAsia" w:ascii="宋体" w:hAnsi="宋体" w:cs="宋体"/>
                <w:color w:val="auto"/>
                <w:sz w:val="24"/>
              </w:rPr>
            </w:pPr>
          </w:p>
        </w:tc>
        <w:tc>
          <w:tcPr>
            <w:tcW w:w="369" w:type="pct"/>
            <w:vAlign w:val="center"/>
          </w:tcPr>
          <w:p w14:paraId="6FF2E068">
            <w:pPr>
              <w:rPr>
                <w:rFonts w:hint="eastAsia" w:ascii="宋体" w:hAnsi="宋体" w:cs="宋体"/>
                <w:color w:val="auto"/>
                <w:sz w:val="24"/>
              </w:rPr>
            </w:pPr>
          </w:p>
        </w:tc>
        <w:tc>
          <w:tcPr>
            <w:tcW w:w="626" w:type="pct"/>
          </w:tcPr>
          <w:p w14:paraId="5397E1C1">
            <w:pPr>
              <w:rPr>
                <w:rFonts w:hint="eastAsia" w:ascii="宋体" w:hAnsi="宋体" w:cs="宋体"/>
                <w:color w:val="auto"/>
                <w:sz w:val="24"/>
              </w:rPr>
            </w:pPr>
          </w:p>
        </w:tc>
        <w:tc>
          <w:tcPr>
            <w:tcW w:w="626" w:type="pct"/>
          </w:tcPr>
          <w:p w14:paraId="04BC7937">
            <w:pPr>
              <w:rPr>
                <w:rFonts w:hint="eastAsia" w:ascii="宋体" w:hAnsi="宋体" w:cs="宋体"/>
                <w:color w:val="auto"/>
                <w:sz w:val="24"/>
              </w:rPr>
            </w:pPr>
          </w:p>
        </w:tc>
      </w:tr>
      <w:tr w14:paraId="44DC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32CFBCAB">
            <w:pPr>
              <w:spacing w:line="360" w:lineRule="auto"/>
              <w:ind w:left="-57" w:right="-57"/>
              <w:jc w:val="center"/>
              <w:rPr>
                <w:rFonts w:hint="eastAsia" w:ascii="宋体" w:hAnsi="宋体" w:cs="宋体"/>
                <w:color w:val="auto"/>
                <w:sz w:val="24"/>
              </w:rPr>
            </w:pPr>
          </w:p>
        </w:tc>
        <w:tc>
          <w:tcPr>
            <w:tcW w:w="629" w:type="pct"/>
            <w:vAlign w:val="center"/>
          </w:tcPr>
          <w:p w14:paraId="6685B001">
            <w:pPr>
              <w:spacing w:line="360" w:lineRule="auto"/>
              <w:ind w:left="-50" w:right="-50"/>
              <w:jc w:val="center"/>
              <w:rPr>
                <w:rFonts w:hint="eastAsia" w:ascii="宋体" w:hAnsi="宋体" w:cs="宋体"/>
                <w:color w:val="auto"/>
                <w:sz w:val="24"/>
              </w:rPr>
            </w:pPr>
            <w:r>
              <w:rPr>
                <w:rFonts w:hint="eastAsia" w:ascii="宋体" w:hAnsi="宋体" w:cs="宋体"/>
                <w:color w:val="auto"/>
                <w:sz w:val="24"/>
              </w:rPr>
              <w:t>合计</w:t>
            </w:r>
          </w:p>
        </w:tc>
        <w:tc>
          <w:tcPr>
            <w:tcW w:w="3504" w:type="pct"/>
            <w:gridSpan w:val="6"/>
            <w:vAlign w:val="center"/>
          </w:tcPr>
          <w:p w14:paraId="31BE05EF">
            <w:pPr>
              <w:spacing w:line="360" w:lineRule="auto"/>
              <w:ind w:left="-50" w:right="-50"/>
              <w:jc w:val="left"/>
              <w:rPr>
                <w:rFonts w:hint="eastAsia"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r>
              <w:rPr>
                <w:rFonts w:hint="eastAsia" w:ascii="宋体" w:hAnsi="宋体" w:cs="宋体"/>
                <w:color w:val="auto"/>
                <w:sz w:val="24"/>
              </w:rPr>
              <w:t xml:space="preserve">      小写：</w:t>
            </w:r>
            <w:r>
              <w:rPr>
                <w:rFonts w:hint="eastAsia" w:ascii="宋体" w:hAnsi="宋体" w:cs="宋体"/>
                <w:color w:val="auto"/>
                <w:sz w:val="24"/>
                <w:u w:val="single"/>
              </w:rPr>
              <w:t xml:space="preserve">¥      </w:t>
            </w:r>
          </w:p>
        </w:tc>
        <w:tc>
          <w:tcPr>
            <w:tcW w:w="626" w:type="pct"/>
            <w:vAlign w:val="center"/>
          </w:tcPr>
          <w:p w14:paraId="61F6670E">
            <w:pPr>
              <w:spacing w:line="360" w:lineRule="auto"/>
              <w:ind w:left="-50" w:right="-50"/>
              <w:jc w:val="left"/>
              <w:rPr>
                <w:rFonts w:hint="eastAsia" w:ascii="宋体" w:hAnsi="宋体" w:cs="宋体"/>
                <w:color w:val="auto"/>
                <w:sz w:val="24"/>
              </w:rPr>
            </w:pPr>
          </w:p>
        </w:tc>
      </w:tr>
      <w:bookmarkEnd w:id="27"/>
    </w:tbl>
    <w:p w14:paraId="59DA676B">
      <w:pPr>
        <w:spacing w:line="360" w:lineRule="auto"/>
        <w:rPr>
          <w:rFonts w:hint="eastAsia" w:ascii="宋体" w:hAnsi="宋体" w:cs="宋体"/>
          <w:color w:val="auto"/>
          <w:sz w:val="24"/>
        </w:rPr>
      </w:pPr>
      <w:r>
        <w:rPr>
          <w:rFonts w:hint="eastAsia" w:ascii="宋体" w:hAnsi="宋体" w:cs="宋体"/>
          <w:color w:val="auto"/>
          <w:sz w:val="24"/>
        </w:rPr>
        <w:t>2、支付方式: 合同款支付全部通过银行转账：</w:t>
      </w:r>
    </w:p>
    <w:p w14:paraId="2ABE4E29">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名     称：</w:t>
      </w:r>
      <w:r>
        <w:rPr>
          <w:rFonts w:hint="eastAsia" w:ascii="宋体" w:hAnsi="宋体" w:cs="宋体"/>
          <w:color w:val="auto"/>
          <w:sz w:val="24"/>
          <w:u w:val="single"/>
        </w:rPr>
        <w:t xml:space="preserve">                 </w:t>
      </w:r>
    </w:p>
    <w:p w14:paraId="61C95003">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开  户 行：</w:t>
      </w:r>
      <w:r>
        <w:rPr>
          <w:rFonts w:hint="eastAsia" w:ascii="宋体" w:hAnsi="宋体" w:cs="宋体"/>
          <w:color w:val="auto"/>
          <w:sz w:val="24"/>
          <w:u w:val="single"/>
        </w:rPr>
        <w:t xml:space="preserve">                   </w:t>
      </w:r>
    </w:p>
    <w:p w14:paraId="030F6A1F">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p>
    <w:p w14:paraId="0166D160">
      <w:pPr>
        <w:spacing w:line="360" w:lineRule="auto"/>
        <w:rPr>
          <w:rFonts w:hint="eastAsia" w:ascii="宋体" w:hAnsi="宋体" w:cs="宋体"/>
          <w:color w:val="auto"/>
          <w:kern w:val="28"/>
          <w:sz w:val="24"/>
        </w:rPr>
      </w:pPr>
      <w:r>
        <w:rPr>
          <w:rFonts w:hint="eastAsia" w:ascii="宋体" w:hAnsi="宋体" w:cs="宋体"/>
          <w:color w:val="auto"/>
          <w:kern w:val="28"/>
          <w:sz w:val="24"/>
        </w:rPr>
        <w:t xml:space="preserve">2.1 付款方式: </w:t>
      </w:r>
    </w:p>
    <w:p w14:paraId="607B0680">
      <w:pPr>
        <w:spacing w:line="360" w:lineRule="auto"/>
        <w:ind w:firstLine="480" w:firstLineChars="200"/>
        <w:rPr>
          <w:rFonts w:hint="eastAsia" w:ascii="宋体" w:hAnsi="宋体" w:cs="宋体"/>
          <w:color w:val="auto"/>
          <w:kern w:val="28"/>
          <w:sz w:val="24"/>
        </w:rPr>
      </w:pPr>
      <w:r>
        <w:rPr>
          <w:rFonts w:hint="eastAsia" w:ascii="宋体" w:hAnsi="宋体" w:cs="宋体"/>
          <w:color w:val="auto"/>
          <w:sz w:val="24"/>
        </w:rPr>
        <w:t>自合同签订，且所有货物到达甲方指定地点后，乙方提供付款等额发票，甲方付合同总价款的40%作为预付款。所有货物安装到甲方指定位置且调试合格，经甲方验收合格并经结算审计，甲方收到乙方开具的正式发票后，30日内付清尾款。</w:t>
      </w:r>
    </w:p>
    <w:p w14:paraId="6AB536EE">
      <w:pPr>
        <w:spacing w:line="360" w:lineRule="auto"/>
        <w:rPr>
          <w:rFonts w:hint="eastAsia" w:ascii="宋体" w:hAnsi="宋体" w:cs="宋体"/>
          <w:color w:val="auto"/>
          <w:kern w:val="28"/>
          <w:sz w:val="24"/>
        </w:rPr>
      </w:pPr>
      <w:r>
        <w:rPr>
          <w:rFonts w:hint="eastAsia" w:ascii="宋体" w:hAnsi="宋体" w:cs="宋体"/>
          <w:color w:val="auto"/>
          <w:kern w:val="28"/>
          <w:sz w:val="24"/>
        </w:rPr>
        <w:t xml:space="preserve">3、结算方式 </w:t>
      </w:r>
    </w:p>
    <w:p w14:paraId="45093EC6">
      <w:pPr>
        <w:spacing w:line="360" w:lineRule="auto"/>
        <w:ind w:firstLine="480" w:firstLineChars="200"/>
        <w:rPr>
          <w:rFonts w:hint="eastAsia" w:ascii="宋体" w:hAnsi="宋体" w:cs="宋体"/>
          <w:color w:val="auto"/>
          <w:sz w:val="24"/>
        </w:rPr>
      </w:pPr>
      <w:r>
        <w:rPr>
          <w:rFonts w:hint="eastAsia" w:ascii="宋体" w:hAnsi="宋体" w:cs="宋体"/>
          <w:color w:val="auto"/>
          <w:sz w:val="24"/>
        </w:rPr>
        <w:t>3.1 按照甲方最终验收确认的实际供货数量进行结算。</w:t>
      </w:r>
    </w:p>
    <w:p w14:paraId="0EBA0481">
      <w:pPr>
        <w:spacing w:line="360" w:lineRule="auto"/>
        <w:ind w:firstLine="480" w:firstLineChars="200"/>
        <w:rPr>
          <w:rFonts w:hint="eastAsia" w:ascii="宋体" w:hAnsi="宋体" w:cs="宋体"/>
          <w:color w:val="auto"/>
          <w:sz w:val="24"/>
        </w:rPr>
      </w:pPr>
      <w:r>
        <w:rPr>
          <w:rFonts w:hint="eastAsia" w:ascii="宋体" w:hAnsi="宋体" w:cs="宋体"/>
          <w:color w:val="auto"/>
          <w:sz w:val="24"/>
        </w:rPr>
        <w:t>3.2 凡因乙方投标漏项、误报等导致的费用差异均由乙方自行承担，且必须按合同约定继续履行此部分合同内容，结算时不予调整。</w:t>
      </w:r>
    </w:p>
    <w:p w14:paraId="114B82C9">
      <w:pPr>
        <w:spacing w:line="360" w:lineRule="auto"/>
        <w:rPr>
          <w:rFonts w:hint="eastAsia" w:ascii="宋体" w:hAnsi="宋体" w:cs="宋体"/>
          <w:b/>
          <w:bCs/>
          <w:color w:val="auto"/>
          <w:sz w:val="24"/>
        </w:rPr>
      </w:pPr>
      <w:bookmarkStart w:id="28" w:name="_Toc11632"/>
      <w:bookmarkStart w:id="29" w:name="_Toc495505734"/>
      <w:r>
        <w:rPr>
          <w:rFonts w:hint="eastAsia" w:ascii="宋体" w:hAnsi="宋体" w:cs="宋体"/>
          <w:b/>
          <w:bCs/>
          <w:color w:val="auto"/>
          <w:sz w:val="24"/>
        </w:rPr>
        <w:t>五、权利与义务</w:t>
      </w:r>
      <w:bookmarkEnd w:id="28"/>
      <w:bookmarkEnd w:id="29"/>
    </w:p>
    <w:p w14:paraId="18E51C28">
      <w:pPr>
        <w:spacing w:line="360" w:lineRule="auto"/>
        <w:rPr>
          <w:rFonts w:hint="eastAsia" w:ascii="宋体" w:hAnsi="宋体" w:cs="宋体"/>
          <w:b/>
          <w:bCs/>
          <w:color w:val="auto"/>
          <w:sz w:val="24"/>
        </w:rPr>
      </w:pPr>
      <w:bookmarkStart w:id="30" w:name="_Toc495505735"/>
      <w:bookmarkStart w:id="31" w:name="_Toc28936"/>
      <w:r>
        <w:rPr>
          <w:rFonts w:hint="eastAsia" w:ascii="宋体" w:hAnsi="宋体" w:cs="宋体"/>
          <w:b/>
          <w:bCs/>
          <w:color w:val="auto"/>
          <w:sz w:val="24"/>
        </w:rPr>
        <w:t>（一）甲方的权利与义务</w:t>
      </w:r>
      <w:bookmarkEnd w:id="30"/>
      <w:bookmarkEnd w:id="31"/>
    </w:p>
    <w:p w14:paraId="2875FAC8">
      <w:pPr>
        <w:spacing w:line="360" w:lineRule="auto"/>
        <w:ind w:firstLine="480" w:firstLineChars="200"/>
        <w:rPr>
          <w:rFonts w:hint="eastAsia" w:ascii="宋体" w:hAnsi="宋体" w:cs="宋体"/>
          <w:color w:val="auto"/>
          <w:sz w:val="24"/>
        </w:rPr>
      </w:pPr>
      <w:r>
        <w:rPr>
          <w:rFonts w:hint="eastAsia" w:ascii="宋体" w:hAnsi="宋体" w:cs="宋体"/>
          <w:color w:val="auto"/>
          <w:sz w:val="24"/>
        </w:rPr>
        <w:t>1、甲方有权要求乙方供货的项目内容符合国家及同行业相关规范，符合国家验收标准，能够通过国家验收。</w:t>
      </w:r>
    </w:p>
    <w:p w14:paraId="512292BD">
      <w:pPr>
        <w:spacing w:line="360" w:lineRule="auto"/>
        <w:ind w:firstLine="480" w:firstLineChars="200"/>
        <w:rPr>
          <w:rFonts w:hint="eastAsia" w:ascii="宋体" w:hAnsi="宋体" w:cs="宋体"/>
          <w:color w:val="auto"/>
          <w:sz w:val="24"/>
        </w:rPr>
      </w:pPr>
      <w:r>
        <w:rPr>
          <w:rFonts w:hint="eastAsia" w:ascii="宋体" w:hAnsi="宋体" w:cs="宋体"/>
          <w:color w:val="auto"/>
          <w:sz w:val="24"/>
        </w:rPr>
        <w:t>2、甲方有权要求乙方配合甲方完成所采购项目内容的预验收工作以及正式验收工作。</w:t>
      </w:r>
    </w:p>
    <w:p w14:paraId="36642C76">
      <w:pPr>
        <w:spacing w:line="360" w:lineRule="auto"/>
        <w:ind w:firstLine="480" w:firstLineChars="200"/>
        <w:rPr>
          <w:rFonts w:hint="eastAsia" w:ascii="宋体" w:hAnsi="宋体" w:cs="宋体"/>
          <w:color w:val="auto"/>
          <w:sz w:val="24"/>
        </w:rPr>
      </w:pPr>
      <w:r>
        <w:rPr>
          <w:rFonts w:hint="eastAsia" w:ascii="宋体" w:hAnsi="宋体" w:cs="宋体"/>
          <w:color w:val="auto"/>
          <w:sz w:val="24"/>
        </w:rPr>
        <w:t>3、甲方有权要求乙方提供的产品所涉及的第三方权利进行免责。</w:t>
      </w:r>
    </w:p>
    <w:p w14:paraId="3C0A6F81">
      <w:pPr>
        <w:spacing w:line="360" w:lineRule="auto"/>
        <w:ind w:firstLine="480" w:firstLineChars="200"/>
        <w:rPr>
          <w:rFonts w:hint="eastAsia" w:ascii="宋体" w:hAnsi="宋体" w:cs="宋体"/>
          <w:color w:val="auto"/>
          <w:sz w:val="24"/>
        </w:rPr>
      </w:pPr>
      <w:r>
        <w:rPr>
          <w:rFonts w:hint="eastAsia" w:ascii="宋体" w:hAnsi="宋体" w:cs="宋体"/>
          <w:color w:val="auto"/>
          <w:sz w:val="24"/>
        </w:rPr>
        <w:t>4、甲方有义务保证按合同所规定的内容及时间支付乙方相关费用。</w:t>
      </w:r>
    </w:p>
    <w:p w14:paraId="77646A06">
      <w:pPr>
        <w:spacing w:line="360" w:lineRule="auto"/>
        <w:ind w:firstLine="480" w:firstLineChars="200"/>
        <w:rPr>
          <w:rFonts w:hint="eastAsia" w:ascii="宋体" w:hAnsi="宋体" w:cs="宋体"/>
          <w:color w:val="auto"/>
          <w:sz w:val="24"/>
        </w:rPr>
      </w:pPr>
      <w:r>
        <w:rPr>
          <w:rFonts w:hint="eastAsia" w:ascii="宋体" w:hAnsi="宋体" w:cs="宋体"/>
          <w:color w:val="auto"/>
          <w:sz w:val="24"/>
        </w:rPr>
        <w:t>5、甲方项目负责人为</w:t>
      </w:r>
      <w:r>
        <w:rPr>
          <w:rFonts w:hint="eastAsia" w:ascii="宋体" w:hAnsi="宋体" w:cs="宋体"/>
          <w:color w:val="auto"/>
          <w:sz w:val="24"/>
          <w:u w:val="single"/>
        </w:rPr>
        <w:t xml:space="preserve">     （手机:  ）  </w:t>
      </w:r>
      <w:r>
        <w:rPr>
          <w:rFonts w:hint="eastAsia" w:ascii="宋体" w:hAnsi="宋体" w:cs="宋体"/>
          <w:color w:val="auto"/>
          <w:sz w:val="24"/>
        </w:rPr>
        <w:t>。</w:t>
      </w:r>
    </w:p>
    <w:p w14:paraId="624450ED">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6、乙方不能按甲方要求及时供货，甲方有单方解除合同的权利。解除合同的同时，甲方有权利与评标报告中排名第二的供应商签订新的供货合同。</w:t>
      </w:r>
    </w:p>
    <w:p w14:paraId="71E191E6">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7、因乙方原因供货延误，给甲方造成损失或被第三方要求索赔的，乙方应全额承担，包括但不限于向第三方赔偿、行政罚款、处理纠纷产生的律师费、诉讼费、保全费及其他各项费用。</w:t>
      </w:r>
    </w:p>
    <w:p w14:paraId="75A723C8">
      <w:pPr>
        <w:spacing w:line="360" w:lineRule="auto"/>
        <w:rPr>
          <w:rFonts w:hint="eastAsia" w:ascii="宋体" w:hAnsi="宋体" w:cs="宋体"/>
          <w:b/>
          <w:bCs/>
          <w:color w:val="auto"/>
          <w:sz w:val="24"/>
        </w:rPr>
      </w:pPr>
      <w:bookmarkStart w:id="32" w:name="_Toc495505736"/>
      <w:bookmarkStart w:id="33" w:name="_Toc18251"/>
      <w:r>
        <w:rPr>
          <w:rFonts w:hint="eastAsia" w:ascii="宋体" w:hAnsi="宋体" w:cs="宋体"/>
          <w:b/>
          <w:bCs/>
          <w:color w:val="auto"/>
          <w:sz w:val="24"/>
        </w:rPr>
        <w:t>（二）乙方的权利与义务</w:t>
      </w:r>
      <w:bookmarkEnd w:id="32"/>
      <w:bookmarkEnd w:id="33"/>
    </w:p>
    <w:p w14:paraId="281499FB">
      <w:pPr>
        <w:spacing w:line="360" w:lineRule="auto"/>
        <w:ind w:firstLine="480" w:firstLineChars="200"/>
        <w:rPr>
          <w:rFonts w:hint="eastAsia" w:ascii="宋体" w:hAnsi="宋体" w:cs="宋体"/>
          <w:color w:val="auto"/>
          <w:sz w:val="24"/>
        </w:rPr>
      </w:pPr>
      <w:r>
        <w:rPr>
          <w:rFonts w:hint="eastAsia" w:ascii="宋体" w:hAnsi="宋体" w:cs="宋体"/>
          <w:color w:val="auto"/>
          <w:kern w:val="28"/>
          <w:sz w:val="24"/>
        </w:rPr>
        <w:t>1、乙方应</w:t>
      </w:r>
      <w:r>
        <w:rPr>
          <w:rFonts w:hint="eastAsia" w:ascii="宋体" w:hAnsi="宋体" w:cs="宋体"/>
          <w:color w:val="auto"/>
          <w:sz w:val="24"/>
        </w:rPr>
        <w:t>按本合同的规定供货，并保证产品全新、符合出厂标准规格、型号、数量、参数等与合同约定完全一致，无任何质量问题。</w:t>
      </w:r>
    </w:p>
    <w:p w14:paraId="3964026F">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2、乙方有义务配合甲方参与项目的预验收、正式验收工作，并确保所供货物符合本项目国家现行标准。</w:t>
      </w:r>
    </w:p>
    <w:p w14:paraId="4CBE2468">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3、乙方项目负责人为</w:t>
      </w:r>
      <w:r>
        <w:rPr>
          <w:rFonts w:hint="eastAsia" w:ascii="宋体" w:hAnsi="宋体" w:cs="宋体"/>
          <w:color w:val="auto"/>
          <w:sz w:val="24"/>
          <w:szCs w:val="24"/>
          <w:u w:val="single"/>
        </w:rPr>
        <w:t xml:space="preserve">     （手机:  ）  </w:t>
      </w:r>
      <w:r>
        <w:rPr>
          <w:rFonts w:hint="eastAsia" w:ascii="宋体" w:hAnsi="宋体" w:cs="宋体"/>
          <w:color w:val="auto"/>
          <w:sz w:val="24"/>
          <w:szCs w:val="24"/>
        </w:rPr>
        <w:t>。</w:t>
      </w:r>
    </w:p>
    <w:p w14:paraId="35877995">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4、乙方有义务按照合同约定时间、地点及期限向甲方交付合同内全部货物，同时承担交货期内过程中所发生的任何安全事故责任。</w:t>
      </w:r>
    </w:p>
    <w:p w14:paraId="29500DC4">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5、本项目试运行期限届满，按照甲方要求配合验收工作及整体项目的验收工作。</w:t>
      </w:r>
    </w:p>
    <w:p w14:paraId="7F2CDA5C">
      <w:pPr>
        <w:spacing w:line="360" w:lineRule="auto"/>
        <w:ind w:firstLine="480" w:firstLineChars="200"/>
        <w:rPr>
          <w:rFonts w:hint="eastAsia" w:ascii="宋体" w:hAnsi="宋体" w:cs="宋体"/>
          <w:color w:val="auto"/>
          <w:sz w:val="24"/>
        </w:rPr>
      </w:pPr>
      <w:r>
        <w:rPr>
          <w:rFonts w:hint="eastAsia" w:ascii="宋体" w:hAnsi="宋体" w:cs="宋体"/>
          <w:color w:val="auto"/>
          <w:sz w:val="24"/>
        </w:rPr>
        <w:t>6、遵守</w:t>
      </w:r>
      <w:r>
        <w:rPr>
          <w:rFonts w:hint="eastAsia" w:ascii="宋体" w:hAnsi="宋体" w:cs="宋体"/>
          <w:color w:val="auto"/>
          <w:sz w:val="24"/>
          <w:lang w:eastAsia="zh-CN"/>
        </w:rPr>
        <w:t>招标</w:t>
      </w:r>
      <w:r>
        <w:rPr>
          <w:rFonts w:hint="eastAsia" w:ascii="宋体" w:hAnsi="宋体" w:cs="宋体"/>
          <w:color w:val="auto"/>
          <w:sz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76C20A88">
      <w:pPr>
        <w:spacing w:line="360" w:lineRule="auto"/>
        <w:ind w:firstLine="480" w:firstLineChars="200"/>
        <w:rPr>
          <w:rFonts w:hint="eastAsia" w:ascii="宋体" w:hAnsi="宋体" w:cs="宋体"/>
          <w:color w:val="auto"/>
          <w:sz w:val="24"/>
        </w:rPr>
      </w:pPr>
      <w:r>
        <w:rPr>
          <w:rFonts w:hint="eastAsia" w:ascii="宋体" w:hAnsi="宋体" w:cs="宋体"/>
          <w:color w:val="auto"/>
          <w:sz w:val="24"/>
        </w:rPr>
        <w:t>7、按甲方指定地点将货物码放整齐，及时清运过程中产生的垃圾，保持现场整洁。</w:t>
      </w:r>
    </w:p>
    <w:p w14:paraId="0D1B0137">
      <w:pPr>
        <w:spacing w:line="360" w:lineRule="auto"/>
        <w:ind w:firstLine="480" w:firstLineChars="200"/>
        <w:rPr>
          <w:rFonts w:hint="eastAsia" w:ascii="宋体" w:hAnsi="宋体" w:cs="宋体"/>
          <w:color w:val="auto"/>
          <w:sz w:val="24"/>
        </w:rPr>
      </w:pPr>
      <w:r>
        <w:rPr>
          <w:rFonts w:hint="eastAsia" w:ascii="宋体" w:hAnsi="宋体" w:cs="宋体"/>
          <w:color w:val="auto"/>
          <w:sz w:val="24"/>
        </w:rPr>
        <w:t>8、遵守国家对交通、市容和实施过程中噪音的管理规定。</w:t>
      </w:r>
    </w:p>
    <w:p w14:paraId="600A4D8E">
      <w:pPr>
        <w:spacing w:line="360" w:lineRule="auto"/>
        <w:ind w:firstLine="480" w:firstLineChars="200"/>
        <w:rPr>
          <w:rFonts w:hint="eastAsia" w:ascii="宋体" w:hAnsi="宋体" w:cs="宋体"/>
          <w:color w:val="auto"/>
          <w:sz w:val="24"/>
        </w:rPr>
      </w:pPr>
      <w:r>
        <w:rPr>
          <w:rFonts w:hint="eastAsia" w:ascii="宋体" w:hAnsi="宋体" w:cs="宋体"/>
          <w:color w:val="auto"/>
          <w:sz w:val="24"/>
        </w:rPr>
        <w:t>9、在货物验收时，向买方提供《货物合格证》、《货物使用说明书》及质量保证书等技术文件。</w:t>
      </w:r>
    </w:p>
    <w:p w14:paraId="064E31BB">
      <w:pPr>
        <w:spacing w:line="360" w:lineRule="auto"/>
        <w:ind w:firstLine="480" w:firstLineChars="200"/>
        <w:rPr>
          <w:rFonts w:hint="eastAsia" w:ascii="宋体" w:hAnsi="宋体" w:cs="宋体"/>
          <w:color w:val="auto"/>
          <w:sz w:val="24"/>
        </w:rPr>
      </w:pPr>
      <w:r>
        <w:rPr>
          <w:rFonts w:hint="eastAsia" w:ascii="宋体" w:hAnsi="宋体" w:cs="宋体"/>
          <w:color w:val="auto"/>
          <w:sz w:val="24"/>
        </w:rPr>
        <w:t>10、乙方交付货物，不符合合同要求及约定技术参数的，及时履行更换或义务。</w:t>
      </w:r>
    </w:p>
    <w:p w14:paraId="00D6910E">
      <w:pPr>
        <w:spacing w:line="360" w:lineRule="auto"/>
        <w:ind w:firstLine="480" w:firstLineChars="200"/>
        <w:rPr>
          <w:rFonts w:hint="eastAsia" w:ascii="宋体" w:hAnsi="宋体" w:cs="宋体"/>
          <w:color w:val="auto"/>
          <w:sz w:val="24"/>
        </w:rPr>
      </w:pPr>
      <w:r>
        <w:rPr>
          <w:rFonts w:hint="eastAsia" w:ascii="宋体" w:hAnsi="宋体" w:cs="宋体"/>
          <w:color w:val="auto"/>
          <w:sz w:val="24"/>
        </w:rPr>
        <w:t>11、承担货物在交货验收前的破损、遗失、盗抢等风险。</w:t>
      </w:r>
    </w:p>
    <w:p w14:paraId="42876974">
      <w:pPr>
        <w:spacing w:line="360" w:lineRule="auto"/>
        <w:rPr>
          <w:rFonts w:hint="eastAsia" w:ascii="宋体" w:hAnsi="宋体" w:cs="宋体"/>
          <w:b/>
          <w:bCs/>
          <w:color w:val="auto"/>
          <w:sz w:val="24"/>
        </w:rPr>
      </w:pPr>
      <w:bookmarkStart w:id="34" w:name="_Toc11791"/>
      <w:bookmarkStart w:id="35" w:name="_Toc495505737"/>
      <w:r>
        <w:rPr>
          <w:rFonts w:hint="eastAsia" w:ascii="宋体" w:hAnsi="宋体" w:cs="宋体"/>
          <w:b/>
          <w:bCs/>
          <w:color w:val="auto"/>
          <w:sz w:val="24"/>
        </w:rPr>
        <w:t>六、质量要求、技术标准</w:t>
      </w:r>
      <w:bookmarkEnd w:id="34"/>
      <w:bookmarkEnd w:id="35"/>
    </w:p>
    <w:p w14:paraId="5FE556CA">
      <w:pPr>
        <w:spacing w:line="360" w:lineRule="auto"/>
        <w:ind w:firstLine="480" w:firstLineChars="200"/>
        <w:rPr>
          <w:rFonts w:hint="eastAsia" w:ascii="宋体" w:hAnsi="宋体" w:cs="宋体"/>
          <w:color w:val="auto"/>
          <w:sz w:val="24"/>
        </w:rPr>
      </w:pPr>
      <w:r>
        <w:rPr>
          <w:rFonts w:hint="eastAsia" w:ascii="宋体" w:hAnsi="宋体" w:cs="宋体"/>
          <w:color w:val="auto"/>
          <w:sz w:val="24"/>
        </w:rPr>
        <w:t>1、质量要求：产品在设计、制造、包装、运输过程中，严格执行国家及行业标准规范。</w:t>
      </w:r>
    </w:p>
    <w:p w14:paraId="7C3F6BE8">
      <w:pPr>
        <w:spacing w:line="360" w:lineRule="auto"/>
        <w:ind w:firstLine="480" w:firstLineChars="200"/>
        <w:rPr>
          <w:rFonts w:hint="eastAsia" w:ascii="宋体" w:hAnsi="宋体" w:cs="宋体"/>
          <w:color w:val="auto"/>
          <w:sz w:val="24"/>
        </w:rPr>
      </w:pPr>
      <w:r>
        <w:rPr>
          <w:rFonts w:hint="eastAsia" w:ascii="宋体" w:hAnsi="宋体" w:cs="宋体"/>
          <w:color w:val="auto"/>
          <w:sz w:val="24"/>
        </w:rPr>
        <w:t>2、详见产品执行的技术标准。</w:t>
      </w:r>
    </w:p>
    <w:p w14:paraId="281B8C08">
      <w:pPr>
        <w:spacing w:line="360" w:lineRule="auto"/>
        <w:rPr>
          <w:rFonts w:hint="eastAsia" w:ascii="宋体" w:hAnsi="宋体" w:cs="宋体"/>
          <w:b/>
          <w:bCs/>
          <w:color w:val="auto"/>
          <w:sz w:val="24"/>
        </w:rPr>
      </w:pPr>
      <w:bookmarkStart w:id="36" w:name="_Toc495505738"/>
      <w:bookmarkStart w:id="37" w:name="_Toc5897"/>
      <w:r>
        <w:rPr>
          <w:rFonts w:hint="eastAsia" w:ascii="宋体" w:hAnsi="宋体" w:cs="宋体"/>
          <w:b/>
          <w:bCs/>
          <w:color w:val="auto"/>
          <w:sz w:val="24"/>
        </w:rPr>
        <w:t>七、交货要求</w:t>
      </w:r>
      <w:bookmarkEnd w:id="36"/>
      <w:bookmarkEnd w:id="37"/>
    </w:p>
    <w:p w14:paraId="43D7E659">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乙方应保证所提供的产品均为崭新的、合法的正品，其质量、规格和性能应完全满足合同约定要求。同时保证享有设备完全知识产权及所有权，无任何权利瑕疵。</w:t>
      </w:r>
    </w:p>
    <w:p w14:paraId="4CACBD32">
      <w:pPr>
        <w:spacing w:line="360" w:lineRule="auto"/>
        <w:ind w:left="-8"/>
        <w:rPr>
          <w:rFonts w:hint="eastAsia" w:ascii="宋体" w:hAnsi="宋体" w:cs="宋体"/>
          <w:b/>
          <w:bCs/>
          <w:color w:val="auto"/>
          <w:sz w:val="24"/>
        </w:rPr>
      </w:pPr>
      <w:bookmarkStart w:id="38" w:name="_Toc13942"/>
      <w:bookmarkStart w:id="39" w:name="_Toc495505739"/>
      <w:r>
        <w:rPr>
          <w:rFonts w:hint="eastAsia" w:ascii="宋体" w:hAnsi="宋体" w:cs="宋体"/>
          <w:b/>
          <w:bCs/>
          <w:color w:val="auto"/>
          <w:sz w:val="24"/>
        </w:rPr>
        <w:t>八、交货地点</w:t>
      </w:r>
      <w:bookmarkEnd w:id="38"/>
      <w:bookmarkEnd w:id="39"/>
    </w:p>
    <w:p w14:paraId="19E31157">
      <w:pPr>
        <w:spacing w:line="360" w:lineRule="auto"/>
        <w:ind w:firstLine="480" w:firstLineChars="200"/>
        <w:rPr>
          <w:rFonts w:hint="eastAsia" w:ascii="宋体" w:hAnsi="宋体" w:cs="宋体"/>
          <w:color w:val="auto"/>
          <w:sz w:val="24"/>
        </w:rPr>
      </w:pPr>
      <w:r>
        <w:rPr>
          <w:rFonts w:hint="eastAsia" w:ascii="宋体" w:hAnsi="宋体" w:cs="宋体"/>
          <w:color w:val="auto"/>
          <w:sz w:val="24"/>
        </w:rPr>
        <w:t>具体交货地点由甲方指定（运输及保险费、装卸费等与交货相关的全部费用由乙方承担）。</w:t>
      </w:r>
    </w:p>
    <w:p w14:paraId="371CF8D8">
      <w:pPr>
        <w:spacing w:line="360" w:lineRule="auto"/>
        <w:rPr>
          <w:rFonts w:hint="eastAsia" w:ascii="宋体" w:hAnsi="宋体" w:cs="宋体"/>
          <w:b/>
          <w:bCs/>
          <w:color w:val="auto"/>
          <w:sz w:val="24"/>
        </w:rPr>
      </w:pPr>
      <w:bookmarkStart w:id="40" w:name="_Toc495505740"/>
      <w:bookmarkStart w:id="41" w:name="_Toc29325"/>
      <w:r>
        <w:rPr>
          <w:rFonts w:hint="eastAsia" w:ascii="宋体" w:hAnsi="宋体" w:cs="宋体"/>
          <w:b/>
          <w:bCs/>
          <w:color w:val="auto"/>
          <w:sz w:val="24"/>
        </w:rPr>
        <w:t>九、货物验收</w:t>
      </w:r>
      <w:bookmarkEnd w:id="40"/>
      <w:bookmarkEnd w:id="41"/>
    </w:p>
    <w:p w14:paraId="6D833FD2">
      <w:pPr>
        <w:spacing w:line="360" w:lineRule="auto"/>
        <w:ind w:firstLine="480" w:firstLineChars="200"/>
        <w:rPr>
          <w:rFonts w:hint="eastAsia" w:ascii="宋体" w:hAnsi="宋体" w:cs="宋体"/>
          <w:color w:val="auto"/>
          <w:sz w:val="24"/>
        </w:rPr>
      </w:pPr>
      <w:r>
        <w:rPr>
          <w:rFonts w:hint="eastAsia" w:ascii="宋体" w:hAnsi="宋体" w:cs="宋体"/>
          <w:color w:val="auto"/>
          <w:sz w:val="24"/>
        </w:rPr>
        <w:t>1、在发货前，乙方应对货物的质量、规格、数量等进行准确而全面的检验，并出具产品生产产地证明材料 (加盖公章)。</w:t>
      </w:r>
    </w:p>
    <w:p w14:paraId="5F3454D2">
      <w:pPr>
        <w:spacing w:line="360" w:lineRule="auto"/>
        <w:ind w:firstLine="480" w:firstLineChars="200"/>
        <w:rPr>
          <w:rFonts w:hint="eastAsia" w:ascii="宋体" w:hAnsi="宋体" w:cs="宋体"/>
          <w:color w:val="auto"/>
          <w:sz w:val="24"/>
        </w:rPr>
      </w:pPr>
      <w:r>
        <w:rPr>
          <w:rFonts w:hint="eastAsia" w:ascii="宋体" w:hAnsi="宋体" w:cs="宋体"/>
          <w:color w:val="auto"/>
          <w:sz w:val="24"/>
        </w:rPr>
        <w:t>2、甲方将在供货单位交货现场组织验收，甲方的初步验收不作为甲方对乙方质量的认可，亦不作为付款依据。如果货物达不到国家的质量及企业标准或与投标时封存样品不符，甲方有权拒绝接收。</w:t>
      </w:r>
    </w:p>
    <w:p w14:paraId="75A6EE1A">
      <w:pPr>
        <w:spacing w:line="360" w:lineRule="auto"/>
        <w:rPr>
          <w:rFonts w:hint="eastAsia" w:ascii="宋体" w:hAnsi="宋体" w:cs="宋体"/>
          <w:b/>
          <w:bCs/>
          <w:color w:val="auto"/>
          <w:sz w:val="24"/>
        </w:rPr>
      </w:pPr>
      <w:bookmarkStart w:id="42" w:name="_Toc13025"/>
      <w:bookmarkStart w:id="43" w:name="_Toc495505741"/>
      <w:r>
        <w:rPr>
          <w:rFonts w:hint="eastAsia" w:ascii="宋体" w:hAnsi="宋体" w:cs="宋体"/>
          <w:b/>
          <w:bCs/>
          <w:color w:val="auto"/>
          <w:sz w:val="24"/>
        </w:rPr>
        <w:t>十、保密条款</w:t>
      </w:r>
      <w:bookmarkEnd w:id="42"/>
      <w:bookmarkEnd w:id="43"/>
    </w:p>
    <w:p w14:paraId="20095847">
      <w:pPr>
        <w:spacing w:line="360" w:lineRule="auto"/>
        <w:ind w:firstLine="480" w:firstLineChars="200"/>
        <w:rPr>
          <w:rFonts w:hint="eastAsia" w:ascii="宋体" w:hAnsi="宋体" w:cs="宋体"/>
          <w:color w:val="auto"/>
          <w:sz w:val="24"/>
        </w:rPr>
      </w:pPr>
      <w:r>
        <w:rPr>
          <w:rFonts w:hint="eastAsia" w:ascii="宋体" w:hAnsi="宋体" w:cs="宋体"/>
          <w:color w:val="auto"/>
          <w:sz w:val="24"/>
        </w:rPr>
        <w:t>双方承诺，除非法律另有规定或双方一致同意，任何一方不得将本协议的内容向第三方透露，否则，应向对方承担相应的违约责任。</w:t>
      </w:r>
    </w:p>
    <w:p w14:paraId="218C66F3">
      <w:pPr>
        <w:spacing w:line="360" w:lineRule="auto"/>
        <w:ind w:firstLine="480" w:firstLineChars="200"/>
        <w:rPr>
          <w:rFonts w:hint="eastAsia" w:ascii="宋体" w:hAnsi="宋体" w:cs="宋体"/>
          <w:color w:val="auto"/>
          <w:sz w:val="24"/>
        </w:rPr>
      </w:pPr>
      <w:r>
        <w:rPr>
          <w:rFonts w:hint="eastAsia" w:ascii="宋体" w:hAnsi="宋体" w:cs="宋体"/>
          <w:color w:val="auto"/>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25632E0">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5FEA707F">
      <w:pPr>
        <w:spacing w:line="360" w:lineRule="auto"/>
        <w:rPr>
          <w:rFonts w:hint="eastAsia" w:ascii="宋体" w:hAnsi="宋体" w:cs="宋体"/>
          <w:b/>
          <w:bCs/>
          <w:color w:val="auto"/>
          <w:sz w:val="24"/>
        </w:rPr>
      </w:pPr>
      <w:bookmarkStart w:id="44" w:name="_Toc495505742"/>
      <w:bookmarkStart w:id="45" w:name="_Toc2316"/>
      <w:r>
        <w:rPr>
          <w:rFonts w:hint="eastAsia" w:ascii="宋体" w:hAnsi="宋体" w:cs="宋体"/>
          <w:b/>
          <w:bCs/>
          <w:color w:val="auto"/>
          <w:sz w:val="24"/>
        </w:rPr>
        <w:t>十一、违约责任</w:t>
      </w:r>
      <w:bookmarkEnd w:id="44"/>
      <w:bookmarkEnd w:id="45"/>
    </w:p>
    <w:p w14:paraId="3FEAB006">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1、乙方逾期供货，每延迟1日，应按合同总价款的5‰向甲方支付违约金，因不可抗力或经甲方同意除外，但违约金总额不超过合同总价的10％。如合同总价5％以上的货物迟达10日的，甲方有权解除本合同。</w:t>
      </w:r>
    </w:p>
    <w:p w14:paraId="296FA1A2">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2、甲方逾期付款，每延迟1日，应按合同总价款的5‰向乙方支付违约金，因不可抗力或经乙方同意除外。</w:t>
      </w:r>
    </w:p>
    <w:p w14:paraId="3A989A52">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3</w:t>
      </w:r>
      <w:r>
        <w:rPr>
          <w:rFonts w:hint="eastAsia" w:ascii="宋体" w:hAnsi="宋体" w:cs="宋体"/>
          <w:b/>
          <w:bCs/>
          <w:color w:val="auto"/>
          <w:sz w:val="24"/>
        </w:rPr>
        <w:t>、</w:t>
      </w:r>
      <w:r>
        <w:rPr>
          <w:rFonts w:hint="eastAsia" w:ascii="宋体" w:hAnsi="宋体" w:cs="宋体"/>
          <w:color w:val="auto"/>
          <w:sz w:val="24"/>
        </w:rPr>
        <w:t>如乙方产品质量不符合国家标准或未达到本企业内控标准，甲方有权退货，并且乙方应承担甲方合同总价款的10％的违约金并赔偿其他损失。</w:t>
      </w:r>
    </w:p>
    <w:p w14:paraId="0B6506CC">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4、在合同规定的供货期内乙方未如数交货，除应如数补齐外，还应承担合同总款的10％违约金。</w:t>
      </w:r>
    </w:p>
    <w:p w14:paraId="3DC26CC4">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5、保修期内因产品质量问题，乙方未按合同规定及时进行维修、更换，甲方可自行组织人员进行维修、更换，因此造成的相关责任、费用由乙方承担。</w:t>
      </w:r>
    </w:p>
    <w:p w14:paraId="66D37EEE">
      <w:pPr>
        <w:spacing w:line="360" w:lineRule="auto"/>
        <w:ind w:firstLine="480" w:firstLineChars="200"/>
        <w:rPr>
          <w:rFonts w:hint="eastAsia" w:ascii="宋体" w:hAnsi="宋体" w:cs="宋体"/>
          <w:color w:val="auto"/>
          <w:sz w:val="24"/>
        </w:rPr>
      </w:pPr>
      <w:r>
        <w:rPr>
          <w:rFonts w:hint="eastAsia" w:ascii="宋体" w:hAnsi="宋体" w:cs="宋体"/>
          <w:color w:val="auto"/>
          <w:sz w:val="24"/>
        </w:rPr>
        <w:t>6、乙方对材料不按</w:t>
      </w:r>
      <w:r>
        <w:rPr>
          <w:rFonts w:hint="eastAsia" w:ascii="宋体" w:hAnsi="宋体" w:cs="宋体"/>
          <w:color w:val="auto"/>
          <w:sz w:val="24"/>
          <w:lang w:eastAsia="zh-CN"/>
        </w:rPr>
        <w:t>招标</w:t>
      </w:r>
      <w:r>
        <w:rPr>
          <w:rFonts w:hint="eastAsia" w:ascii="宋体" w:hAnsi="宋体" w:cs="宋体"/>
          <w:color w:val="auto"/>
          <w:sz w:val="24"/>
        </w:rPr>
        <w:t>文件要求，擅自更换，除恢复原采购产品外，应承担更换部分价款10%的违约金。</w:t>
      </w:r>
    </w:p>
    <w:p w14:paraId="5AB96798">
      <w:pPr>
        <w:spacing w:line="360" w:lineRule="auto"/>
        <w:ind w:firstLine="480" w:firstLineChars="200"/>
        <w:rPr>
          <w:rFonts w:hint="eastAsia" w:ascii="宋体" w:hAnsi="宋体" w:cs="宋体"/>
          <w:color w:val="auto"/>
          <w:sz w:val="24"/>
        </w:rPr>
      </w:pPr>
      <w:r>
        <w:rPr>
          <w:rFonts w:hint="eastAsia" w:ascii="宋体" w:hAnsi="宋体" w:cs="宋体"/>
          <w:color w:val="auto"/>
          <w:sz w:val="24"/>
        </w:rPr>
        <w:t>7、乙方如对材料以次充好，除全部按要求恢复外，应承担此部分价款10%的违约金。</w:t>
      </w:r>
    </w:p>
    <w:p w14:paraId="15C82B15">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8、如由于产品质量原因，不能通过验收，乙方除按规定无偿更换外，应承担所涉及产品总价款的10％违约金。</w:t>
      </w:r>
    </w:p>
    <w:p w14:paraId="3B297795">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9、乙方负责现场施工人员及其他人员安全。如因乙方原因造成人员伤亡或财产损失，由乙方负责并承担一切责任和经济赔偿，甲方有权追究乙方的违约责任。</w:t>
      </w:r>
    </w:p>
    <w:p w14:paraId="40DD5663">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10、乙方供应设施设备存在知识产权瑕疵或所有权瑕疵，导致第三方向甲方索赔的，因此产生的赔偿款、行政罚款、处理纠纷发生的律师费、诉讼费、保全费等各项费用由乙方承担。</w:t>
      </w:r>
    </w:p>
    <w:p w14:paraId="0647E3D8">
      <w:pPr>
        <w:spacing w:line="360" w:lineRule="auto"/>
        <w:rPr>
          <w:rFonts w:hint="eastAsia" w:ascii="宋体" w:hAnsi="宋体" w:cs="宋体"/>
          <w:b/>
          <w:bCs/>
          <w:color w:val="auto"/>
          <w:sz w:val="24"/>
        </w:rPr>
      </w:pPr>
      <w:bookmarkStart w:id="46" w:name="_Toc8774"/>
      <w:bookmarkStart w:id="47" w:name="_Toc495505743"/>
      <w:r>
        <w:rPr>
          <w:rFonts w:hint="eastAsia" w:ascii="宋体" w:hAnsi="宋体" w:cs="宋体"/>
          <w:b/>
          <w:bCs/>
          <w:color w:val="auto"/>
          <w:sz w:val="24"/>
        </w:rPr>
        <w:t>十二、争议解决</w:t>
      </w:r>
      <w:bookmarkEnd w:id="46"/>
      <w:bookmarkEnd w:id="47"/>
    </w:p>
    <w:p w14:paraId="0EFC7AB6">
      <w:pPr>
        <w:spacing w:line="360" w:lineRule="auto"/>
        <w:ind w:firstLine="480" w:firstLineChars="200"/>
        <w:rPr>
          <w:rFonts w:hint="eastAsia" w:ascii="宋体" w:hAnsi="宋体" w:cs="宋体"/>
          <w:color w:val="auto"/>
          <w:sz w:val="24"/>
        </w:rPr>
      </w:pPr>
      <w:r>
        <w:rPr>
          <w:rFonts w:hint="eastAsia" w:ascii="宋体" w:hAnsi="宋体" w:cs="宋体"/>
          <w:color w:val="auto"/>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06FC5629">
      <w:pPr>
        <w:spacing w:line="360" w:lineRule="auto"/>
        <w:rPr>
          <w:rFonts w:hint="eastAsia" w:ascii="宋体" w:hAnsi="宋体" w:cs="宋体"/>
          <w:b/>
          <w:bCs/>
          <w:color w:val="auto"/>
          <w:sz w:val="24"/>
        </w:rPr>
      </w:pPr>
      <w:bookmarkStart w:id="48" w:name="_Toc495505744"/>
      <w:bookmarkStart w:id="49" w:name="_Toc8149"/>
      <w:r>
        <w:rPr>
          <w:rFonts w:hint="eastAsia" w:ascii="宋体" w:hAnsi="宋体" w:cs="宋体"/>
          <w:b/>
          <w:bCs/>
          <w:color w:val="auto"/>
          <w:sz w:val="24"/>
        </w:rPr>
        <w:t>十三、协议期限</w:t>
      </w:r>
      <w:bookmarkEnd w:id="48"/>
      <w:bookmarkEnd w:id="49"/>
    </w:p>
    <w:p w14:paraId="198225A9">
      <w:pPr>
        <w:spacing w:line="360" w:lineRule="auto"/>
        <w:ind w:firstLine="480" w:firstLineChars="200"/>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pacing w:val="10"/>
          <w:sz w:val="24"/>
        </w:rPr>
        <w:t>合同经</w:t>
      </w:r>
      <w:r>
        <w:rPr>
          <w:rFonts w:hint="eastAsia" w:ascii="宋体" w:hAnsi="宋体" w:cs="宋体"/>
          <w:color w:val="auto"/>
          <w:sz w:val="24"/>
        </w:rPr>
        <w:t>发包</w:t>
      </w:r>
      <w:r>
        <w:rPr>
          <w:rFonts w:hint="eastAsia" w:ascii="宋体" w:hAnsi="宋体" w:cs="宋体"/>
          <w:color w:val="auto"/>
          <w:spacing w:val="10"/>
          <w:sz w:val="24"/>
        </w:rPr>
        <w:t>方和</w:t>
      </w:r>
      <w:r>
        <w:rPr>
          <w:rFonts w:hint="eastAsia" w:ascii="宋体" w:hAnsi="宋体" w:cs="宋体"/>
          <w:color w:val="auto"/>
          <w:sz w:val="24"/>
        </w:rPr>
        <w:t>承包</w:t>
      </w:r>
      <w:r>
        <w:rPr>
          <w:rFonts w:hint="eastAsia" w:ascii="宋体" w:hAnsi="宋体" w:cs="宋体"/>
          <w:color w:val="auto"/>
          <w:spacing w:val="10"/>
          <w:sz w:val="24"/>
        </w:rPr>
        <w:t>方双方法定代表人或者代表人签字并加盖公章(或合同章)即行生效。</w:t>
      </w:r>
    </w:p>
    <w:p w14:paraId="30EB71CD">
      <w:pPr>
        <w:spacing w:line="360" w:lineRule="auto"/>
        <w:ind w:firstLine="480" w:firstLineChars="200"/>
        <w:rPr>
          <w:rFonts w:hint="eastAsia" w:ascii="宋体" w:hAnsi="宋体" w:cs="宋体"/>
          <w:color w:val="auto"/>
          <w:sz w:val="24"/>
        </w:rPr>
      </w:pPr>
      <w:r>
        <w:rPr>
          <w:rFonts w:hint="eastAsia" w:ascii="宋体" w:hAnsi="宋体" w:cs="宋体"/>
          <w:color w:val="auto"/>
          <w:sz w:val="24"/>
        </w:rPr>
        <w:t>2、合同签订之日起双方即直接产生权利与义务的关系，合同执行过程中出现的问题应按照合同法等有关规定办理。</w:t>
      </w:r>
    </w:p>
    <w:p w14:paraId="5379A228">
      <w:pPr>
        <w:spacing w:line="360" w:lineRule="auto"/>
        <w:ind w:firstLine="480" w:firstLineChars="200"/>
        <w:rPr>
          <w:rFonts w:hint="eastAsia" w:ascii="宋体" w:hAnsi="宋体" w:cs="宋体"/>
          <w:color w:val="auto"/>
          <w:sz w:val="24"/>
        </w:rPr>
      </w:pPr>
      <w:r>
        <w:rPr>
          <w:rFonts w:hint="eastAsia" w:ascii="宋体" w:hAnsi="宋体" w:cs="宋体"/>
          <w:color w:val="auto"/>
          <w:sz w:val="24"/>
        </w:rPr>
        <w:t>3、合同在执行过程中出现的未尽事宜，双方在不违背本合同和</w:t>
      </w:r>
      <w:r>
        <w:rPr>
          <w:rFonts w:hint="eastAsia" w:ascii="宋体" w:hAnsi="宋体" w:cs="宋体"/>
          <w:color w:val="auto"/>
          <w:sz w:val="24"/>
          <w:lang w:eastAsia="zh-CN"/>
        </w:rPr>
        <w:t>招标</w:t>
      </w:r>
      <w:r>
        <w:rPr>
          <w:rFonts w:hint="eastAsia" w:ascii="宋体" w:hAnsi="宋体" w:cs="宋体"/>
          <w:color w:val="auto"/>
          <w:sz w:val="24"/>
        </w:rPr>
        <w:t>文件的原则下协商解决，协商结果以“纪要”形式盖章记录在案，作为本合同的附件，与本合同具有同等效力。</w:t>
      </w:r>
    </w:p>
    <w:p w14:paraId="7C4ECCD1">
      <w:pPr>
        <w:spacing w:line="360" w:lineRule="auto"/>
        <w:rPr>
          <w:rFonts w:hint="eastAsia" w:ascii="宋体" w:hAnsi="宋体" w:cs="宋体"/>
          <w:b/>
          <w:bCs/>
          <w:color w:val="auto"/>
          <w:sz w:val="24"/>
        </w:rPr>
      </w:pPr>
      <w:bookmarkStart w:id="50" w:name="_Toc495505745"/>
      <w:bookmarkStart w:id="51" w:name="_Toc13863"/>
      <w:r>
        <w:rPr>
          <w:rFonts w:hint="eastAsia" w:ascii="宋体" w:hAnsi="宋体" w:cs="宋体"/>
          <w:b/>
          <w:bCs/>
          <w:color w:val="auto"/>
          <w:sz w:val="24"/>
        </w:rPr>
        <w:t>十四、不可抗力</w:t>
      </w:r>
      <w:bookmarkEnd w:id="50"/>
      <w:bookmarkEnd w:id="51"/>
    </w:p>
    <w:p w14:paraId="76146A87">
      <w:pPr>
        <w:spacing w:line="360" w:lineRule="auto"/>
        <w:ind w:firstLine="480" w:firstLineChars="200"/>
        <w:rPr>
          <w:rFonts w:hint="eastAsia" w:ascii="宋体" w:hAnsi="宋体" w:cs="宋体"/>
          <w:color w:val="auto"/>
          <w:sz w:val="24"/>
        </w:rPr>
      </w:pPr>
      <w:r>
        <w:rPr>
          <w:rFonts w:hint="eastAsia" w:ascii="宋体" w:hAnsi="宋体" w:cs="宋体"/>
          <w:color w:val="auto"/>
          <w:sz w:val="24"/>
        </w:rPr>
        <w:t>1、本合同项下的“不可抗力”是指不能预见，不能避免且不能克服的客观情况，使得本合同一方当事人无法履行合同义务，不可抗力事由发生三日内，不能履行合同方应当向对方发出书面通知。不可抗力之政治因素及自然灾害：如战争、严重火灾、水灾、风灾和地震属于不可抗力的事故。</w:t>
      </w:r>
    </w:p>
    <w:p w14:paraId="0847BFF2">
      <w:pPr>
        <w:spacing w:line="360" w:lineRule="auto"/>
        <w:ind w:firstLine="480" w:firstLineChars="200"/>
        <w:rPr>
          <w:rFonts w:hint="eastAsia" w:ascii="宋体" w:hAnsi="宋体" w:cs="宋体"/>
          <w:color w:val="auto"/>
          <w:sz w:val="24"/>
        </w:rPr>
      </w:pPr>
      <w:r>
        <w:rPr>
          <w:rFonts w:hint="eastAsia" w:ascii="宋体" w:hAnsi="宋体" w:cs="宋体"/>
          <w:color w:val="auto"/>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439B66FA">
      <w:pPr>
        <w:spacing w:line="360" w:lineRule="auto"/>
        <w:ind w:firstLine="480" w:firstLineChars="200"/>
        <w:rPr>
          <w:rFonts w:hint="eastAsia" w:ascii="宋体" w:hAnsi="宋体" w:cs="宋体"/>
          <w:color w:val="auto"/>
          <w:sz w:val="24"/>
        </w:rPr>
      </w:pPr>
      <w:r>
        <w:rPr>
          <w:rFonts w:hint="eastAsia" w:ascii="宋体" w:hAnsi="宋体" w:cs="宋体"/>
          <w:color w:val="auto"/>
          <w:sz w:val="24"/>
        </w:rPr>
        <w:t>3、如不可抗力时间延续120天以上的，各方通过协商达成在合理的时间内继续履行合同，或部分履行合同，或终止合同的履行。</w:t>
      </w:r>
    </w:p>
    <w:p w14:paraId="3BCA6A46">
      <w:pPr>
        <w:spacing w:line="360" w:lineRule="auto"/>
        <w:ind w:firstLine="480" w:firstLineChars="200"/>
        <w:rPr>
          <w:rFonts w:hint="eastAsia" w:ascii="宋体" w:hAnsi="宋体" w:cs="宋体"/>
          <w:color w:val="auto"/>
          <w:sz w:val="24"/>
        </w:rPr>
      </w:pPr>
      <w:r>
        <w:rPr>
          <w:rFonts w:hint="eastAsia" w:ascii="宋体" w:hAnsi="宋体" w:cs="宋体"/>
          <w:color w:val="auto"/>
          <w:sz w:val="24"/>
        </w:rPr>
        <w:t>4、一方迟延履行后发生不可抗力的，不能免除责任。</w:t>
      </w:r>
    </w:p>
    <w:p w14:paraId="5F5BD705">
      <w:pPr>
        <w:spacing w:line="360" w:lineRule="auto"/>
        <w:rPr>
          <w:rFonts w:hint="eastAsia" w:ascii="宋体" w:hAnsi="宋体" w:cs="宋体"/>
          <w:b/>
          <w:bCs/>
          <w:color w:val="auto"/>
          <w:sz w:val="24"/>
        </w:rPr>
      </w:pPr>
      <w:bookmarkStart w:id="52" w:name="_Toc495505746"/>
      <w:bookmarkStart w:id="53" w:name="_Toc17954"/>
      <w:r>
        <w:rPr>
          <w:rFonts w:hint="eastAsia" w:ascii="宋体" w:hAnsi="宋体" w:cs="宋体"/>
          <w:b/>
          <w:bCs/>
          <w:color w:val="auto"/>
          <w:sz w:val="24"/>
        </w:rPr>
        <w:t>十五、通知和合同修改</w:t>
      </w:r>
      <w:bookmarkEnd w:id="52"/>
      <w:bookmarkEnd w:id="53"/>
    </w:p>
    <w:p w14:paraId="6154C19E">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本合同一方给另一方的通知，都应以书面的形式（信函、传真）发送至对方，对本合同条款进行任何改动，均须由甲乙双方签署书面合同修改签证，方为有效。</w:t>
      </w:r>
    </w:p>
    <w:p w14:paraId="0B94AC55">
      <w:pPr>
        <w:spacing w:line="360" w:lineRule="auto"/>
        <w:rPr>
          <w:rFonts w:hint="eastAsia" w:ascii="宋体" w:hAnsi="宋体" w:cs="宋体"/>
          <w:b/>
          <w:bCs/>
          <w:color w:val="auto"/>
          <w:sz w:val="24"/>
        </w:rPr>
      </w:pPr>
      <w:bookmarkStart w:id="54" w:name="_Toc23948"/>
      <w:bookmarkStart w:id="55" w:name="_Toc495505747"/>
      <w:r>
        <w:rPr>
          <w:rFonts w:hint="eastAsia" w:ascii="宋体" w:hAnsi="宋体" w:cs="宋体"/>
          <w:b/>
          <w:bCs/>
          <w:color w:val="auto"/>
          <w:sz w:val="24"/>
        </w:rPr>
        <w:t>十六、其他规定</w:t>
      </w:r>
      <w:bookmarkEnd w:id="54"/>
      <w:bookmarkEnd w:id="55"/>
    </w:p>
    <w:p w14:paraId="61A3FBDD">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本协议的附件为本协议不可分割的部分，与本协议正文具有同等的法律效力。协议附件与本协议约定不一致的，以本协议的约定为准，除非双方一致同意并以书面形式表示以协议附件为准。</w:t>
      </w:r>
    </w:p>
    <w:p w14:paraId="6B0235F5">
      <w:pPr>
        <w:rPr>
          <w:rFonts w:hint="eastAsia" w:ascii="宋体" w:hAnsi="宋体" w:cs="宋体"/>
          <w:color w:val="auto"/>
          <w:sz w:val="24"/>
        </w:rPr>
      </w:pPr>
    </w:p>
    <w:p w14:paraId="4EDCEEB1">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本合同甲、乙双方均同意以上条款内容。</w:t>
      </w:r>
    </w:p>
    <w:p w14:paraId="0CBDCB5B">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本合同一式陆份，甲方肆份，乙方贰份，具有同等效力。自双方法定代表人或授权代表人签字、并加盖单位公章之日起生效。</w:t>
      </w:r>
    </w:p>
    <w:p w14:paraId="682F075F">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本合同的订立、履行、变更、终止、解释等均适用中华人民共和国法律。</w:t>
      </w:r>
    </w:p>
    <w:p w14:paraId="6F3AB2E2">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本合同未尽事宜由双方共同协商，另行订立补充协议，补充协议与本协议具有同样的法律效力。如果本合同之附件与本合同规定不符, 以本合同规定为准。</w:t>
      </w:r>
    </w:p>
    <w:p w14:paraId="39ED6D1B">
      <w:pPr>
        <w:rPr>
          <w:rFonts w:hint="eastAsia" w:ascii="宋体" w:hAnsi="宋体" w:cs="宋体"/>
          <w:color w:val="auto"/>
          <w:sz w:val="24"/>
          <w:u w:val="single"/>
        </w:rPr>
      </w:pPr>
    </w:p>
    <w:p w14:paraId="647F78F3">
      <w:pPr>
        <w:rPr>
          <w:rFonts w:hint="eastAsia" w:ascii="宋体" w:hAnsi="宋体" w:cs="宋体"/>
          <w:color w:val="auto"/>
          <w:sz w:val="24"/>
          <w:u w:val="single"/>
        </w:rPr>
      </w:pPr>
      <w:r>
        <w:rPr>
          <w:rFonts w:hint="eastAsia" w:ascii="宋体" w:hAnsi="宋体" w:cs="宋体"/>
          <w:color w:val="auto"/>
          <w:sz w:val="24"/>
          <w:u w:val="single"/>
        </w:rPr>
        <w:t xml:space="preserve">                       </w:t>
      </w:r>
    </w:p>
    <w:p w14:paraId="095001CF">
      <w:pPr>
        <w:spacing w:line="360" w:lineRule="auto"/>
        <w:ind w:firstLine="480" w:firstLineChars="200"/>
        <w:rPr>
          <w:rFonts w:hint="eastAsia" w:ascii="宋体" w:hAnsi="宋体" w:cs="宋体"/>
          <w:color w:val="auto"/>
          <w:sz w:val="24"/>
        </w:rPr>
      </w:pPr>
      <w:r>
        <w:rPr>
          <w:rFonts w:hint="eastAsia" w:ascii="宋体" w:hAnsi="宋体" w:cs="宋体"/>
          <w:color w:val="auto"/>
          <w:sz w:val="24"/>
        </w:rPr>
        <w:t>（以下无正文）</w:t>
      </w:r>
    </w:p>
    <w:p w14:paraId="5D621B85">
      <w:pPr>
        <w:spacing w:line="720" w:lineRule="auto"/>
        <w:rPr>
          <w:rFonts w:hint="eastAsia" w:ascii="宋体" w:hAnsi="宋体" w:cs="宋体"/>
          <w:color w:val="auto"/>
          <w:sz w:val="24"/>
        </w:rPr>
      </w:pPr>
      <w:r>
        <w:rPr>
          <w:rFonts w:hint="eastAsia" w:ascii="宋体" w:hAnsi="宋体" w:cs="宋体"/>
          <w:color w:val="auto"/>
          <w:sz w:val="24"/>
        </w:rPr>
        <w:t>甲方：</w:t>
      </w:r>
      <w:r>
        <w:rPr>
          <w:rFonts w:hint="eastAsia" w:ascii="宋体" w:hAnsi="宋体" w:cs="宋体"/>
          <w:color w:val="auto"/>
          <w:sz w:val="24"/>
          <w:u w:val="single"/>
        </w:rPr>
        <w:t xml:space="preserve">                     </w:t>
      </w:r>
      <w:r>
        <w:rPr>
          <w:rFonts w:hint="eastAsia" w:ascii="宋体" w:hAnsi="宋体" w:cs="宋体"/>
          <w:color w:val="auto"/>
          <w:sz w:val="24"/>
        </w:rPr>
        <w:t xml:space="preserve">         乙方：</w:t>
      </w:r>
      <w:r>
        <w:rPr>
          <w:rFonts w:hint="eastAsia" w:ascii="宋体" w:hAnsi="宋体" w:cs="宋体"/>
          <w:color w:val="auto"/>
          <w:sz w:val="24"/>
          <w:u w:val="single"/>
        </w:rPr>
        <w:t xml:space="preserve">                            </w:t>
      </w:r>
    </w:p>
    <w:p w14:paraId="17C6956F">
      <w:pPr>
        <w:spacing w:line="720" w:lineRule="auto"/>
        <w:jc w:val="left"/>
        <w:rPr>
          <w:rFonts w:hint="eastAsia" w:ascii="宋体" w:hAnsi="宋体" w:cs="宋体"/>
          <w:color w:val="auto"/>
          <w:sz w:val="24"/>
        </w:rPr>
      </w:pPr>
      <w:r>
        <w:rPr>
          <w:rFonts w:hint="eastAsia" w:ascii="宋体" w:hAnsi="宋体" w:cs="宋体"/>
          <w:color w:val="auto"/>
          <w:sz w:val="24"/>
        </w:rPr>
        <w:t>法定代表人或授权代表人：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法定代表人或授权代表人：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        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0B87EB95">
      <w:pPr>
        <w:rPr>
          <w:color w:val="auto"/>
        </w:rPr>
      </w:pPr>
    </w:p>
    <w:bookmarkEnd w:id="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D303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4C9BB8">
                          <w:pPr>
                            <w:pStyle w:val="3"/>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154C9BB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AF726">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14:paraId="1489DE36">
                          <w:pPr>
                            <w:pStyle w:val="3"/>
                          </w:pPr>
                          <w:r>
                            <w:fldChar w:fldCharType="begin"/>
                          </w:r>
                          <w:r>
                            <w:instrText xml:space="preserve"> PAGE  \* MERGEFORMAT </w:instrText>
                          </w:r>
                          <w:r>
                            <w:fldChar w:fldCharType="separate"/>
                          </w:r>
                          <w:r>
                            <w:t>1</w:t>
                          </w:r>
                          <w:r>
                            <w:fldChar w:fldCharType="end"/>
                          </w:r>
                        </w:p>
                      </w:txbxContent>
                    </wps:txbx>
                    <wps:bodyPr lIns="0" tIns="0" rIns="0" bIns="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8XUBB&#10;1AAAAAMBAAAPAAAAAAAAAAEAIAAAACIAAABkcnMvZG93bnJldi54bWxQSwECFAAUAAAACACHTuJA&#10;m2CG+7MBAABlAwAADgAAAAAAAAABACAAAAAjAQAAZHJzL2Uyb0RvYy54bWxQSwUGAAAAAAYABgBZ&#10;AQAASAUAAAAA&#10;">
              <v:fill on="f" focussize="0,0"/>
              <v:stroke on="f"/>
              <v:imagedata o:title=""/>
              <o:lock v:ext="edit" aspectratio="f"/>
              <v:textbox inset="0mm,0mm,0mm,0mm">
                <w:txbxContent>
                  <w:p w14:paraId="1489DE3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1456B">
    <w:pPr>
      <w:pStyle w:val="4"/>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A5059"/>
    <w:rsid w:val="603A5059"/>
    <w:rsid w:val="71926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3884</Words>
  <Characters>3917</Characters>
  <Lines>0</Lines>
  <Paragraphs>0</Paragraphs>
  <TotalTime>0</TotalTime>
  <ScaleCrop>false</ScaleCrop>
  <LinksUpToDate>false</LinksUpToDate>
  <CharactersWithSpaces>4287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2025-07-10T07:53:00Z</dcterms:created>
  <dc:creator>vvf</dc:creator>
  <cp:lastModifiedBy>vvf</cp:lastModifiedBy>
  <dcterms:modified xsi:type="dcterms:W3CDTF">2025-07-10T08:09:25Z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AE5FE56CA141453AAA4475CB648D0AC0_11</vt:lpwstr>
  </property>
  <property fmtid="{D5CDD505-2E9C-101B-9397-08002B2CF9AE}" pid="4" name="KSOTemplateDocerSaveRecord">
    <vt:lpwstr>eyJoZGlkIjoiYzM0OGQ1NTVkMjYyZmFhMjg3MzU2ZDJjNmRkMGM0YmEiLCJ1c2VySWQiOiI1MDU0NTY4MDEifQ==</vt:lpwstr>
  </property>
</Properties>
</file>