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版本号：WSQ-2025-45820250711001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泾渭新城西工集团主园区项目等6宗地考古勘探劳务协作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WSQ-2025-458</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泾渭新城西工集团主园区项目等6宗地考古勘探劳务协作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WSQ-2025-458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泾渭新城西工集团主园区项目等6宗地考古勘探劳务协作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泾渭新城西工集团主园区项目等6宗地考古勘探劳务协作，具体内容详见磋商文件第三章。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采购包1（泾渭新城西工集团主园区项目等6宗地考古勘探劳务协作）：属于专门面向中小企业采购。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审查：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审查：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审查：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法定代表人授权委托书审查：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6、无重大违法记录：无重大违法记录：供应商参加政府采购活动前3年内在经营活动中没有重大违法记录；供应商需在项目电子化交易系统中按要求填写《响应函》完成承诺并进行电子签章。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7、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8、其他承诺响应：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9、控股管理关系：控股管理关系：单位负责人为同一人或者存在直接控股、管理关系的供应商，不得参加同一合同下的政府采购活动；供应商需在项目电子化交易系统中按要求填写《响应函》完成承诺并进行电子签章。</w:t>
      </w:r>
    </w:p>
    <w:p>
      <w:pPr>
        <w:pStyle w:val="null3"/>
      </w:pPr>
      <w:r>
        <w:rPr>
          <w:rFonts w:ascii="仿宋_GB2312" w:hAnsi="仿宋_GB2312" w:cs="仿宋_GB2312" w:eastAsia="仿宋_GB2312"/>
        </w:rPr>
        <w:t>10、联合体：本项目不接受联合体响应，不允许分包；供应商需在项目电子化交易系统中按要求填写《承诺书》完成承诺并进行电子签章。</w:t>
      </w:r>
    </w:p>
    <w:p>
      <w:pPr>
        <w:pStyle w:val="null3"/>
      </w:pPr>
      <w:r>
        <w:rPr>
          <w:rFonts w:ascii="仿宋_GB2312" w:hAnsi="仿宋_GB2312" w:cs="仿宋_GB2312" w:eastAsia="仿宋_GB2312"/>
        </w:rPr>
        <w:t>11、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 15389248069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采购包1：571,951.51元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服务类标准，按照优惠后的下浮费率收费计取，成交服务费按差额定率累进法计算，分包的项目，按包收取。服务费不足5000元的，按5000元收取。 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按规范执行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联系电话：029-84198629 15389248069</w:t>
      </w:r>
    </w:p>
    <w:p>
      <w:pPr>
        <w:pStyle w:val="null3"/>
      </w:pPr>
      <w:r>
        <w:rPr>
          <w:rFonts w:ascii="仿宋_GB2312" w:hAnsi="仿宋_GB2312" w:cs="仿宋_GB2312" w:eastAsia="仿宋_GB2312"/>
        </w:rPr>
        <w:t>地址：陕西省西安市高新区沣惠南路34号摩尔中心A座11601室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市泾渭新城，面积为158875.42㎡，服务期：35个工作日。必须严格按照《考古勘探工作规程》（试行）进行施工。普探布点间距为梅花孔1米布设，加点位置偏差小于20厘米，深度为天然原始土层以下10厘米，对勘探出的古遗址、古墓葬等古文化遗迹做好绘图、照相、测绘、定点等工作。必须有勘探工作日志及原始资料记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571,951.51</w:t>
      </w:r>
    </w:p>
    <w:p>
      <w:pPr>
        <w:pStyle w:val="null3"/>
      </w:pPr>
      <w:r>
        <w:rPr>
          <w:rFonts w:ascii="仿宋_GB2312" w:hAnsi="仿宋_GB2312" w:cs="仿宋_GB2312" w:eastAsia="仿宋_GB2312"/>
        </w:rPr>
        <w:t>采购包最高限价（元）: 571,951.51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考古勘探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571,951.51</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标的名称：考古勘探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必须严格按照《考古勘探工作规程》（试行）进行施工。普探布点间距为梅花孔</w:t>
            </w:r>
            <w:r>
              <w:rPr>
                <w:rFonts w:ascii="仿宋_GB2312" w:hAnsi="仿宋_GB2312" w:cs="仿宋_GB2312" w:eastAsia="仿宋_GB2312"/>
                <w:sz w:val="21"/>
              </w:rPr>
              <w:t>1</w:t>
            </w:r>
            <w:r>
              <w:rPr>
                <w:rFonts w:ascii="仿宋_GB2312" w:hAnsi="仿宋_GB2312" w:cs="仿宋_GB2312" w:eastAsia="仿宋_GB2312"/>
                <w:sz w:val="21"/>
              </w:rPr>
              <w:t>米布设，加点位置偏差小于</w:t>
            </w:r>
            <w:r>
              <w:rPr>
                <w:rFonts w:ascii="仿宋_GB2312" w:hAnsi="仿宋_GB2312" w:cs="仿宋_GB2312" w:eastAsia="仿宋_GB2312"/>
                <w:sz w:val="21"/>
              </w:rPr>
              <w:t>20</w:t>
            </w:r>
            <w:r>
              <w:rPr>
                <w:rFonts w:ascii="仿宋_GB2312" w:hAnsi="仿宋_GB2312" w:cs="仿宋_GB2312" w:eastAsia="仿宋_GB2312"/>
                <w:sz w:val="21"/>
              </w:rPr>
              <w:t>厘米，深度为天然原始土层以下</w:t>
            </w:r>
            <w:r>
              <w:rPr>
                <w:rFonts w:ascii="仿宋_GB2312" w:hAnsi="仿宋_GB2312" w:cs="仿宋_GB2312" w:eastAsia="仿宋_GB2312"/>
                <w:sz w:val="21"/>
              </w:rPr>
              <w:t>10</w:t>
            </w:r>
            <w:r>
              <w:rPr>
                <w:rFonts w:ascii="仿宋_GB2312" w:hAnsi="仿宋_GB2312" w:cs="仿宋_GB2312" w:eastAsia="仿宋_GB2312"/>
                <w:sz w:val="21"/>
              </w:rPr>
              <w:t>厘米，对勘探出的古遗址、古墓葬等古文化遗迹做好绘图、照相、测绘、定点等工作。必须有勘探工作日志及原始资料记录。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西安市泾渭新城</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完成合同内容，提交验收报告</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法律途径解决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2023年度或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本项目不接受联合体响应，不允许分包；供应商需在项目电子化交易系统中按要求填写《承诺书》完成承诺并进行电子签章。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按照磋商文件格式要求签署盖章</w:t>
            </w:r>
          </w:p>
        </w:tc>
        <w:tc>
          <w:tcPr>
            <w:tcW w:type="dxa" w:w="1661"/>
          </w:tcPr>
          <w:p>
            <w:pPr>
              <w:pStyle w:val="null3"/>
            </w:pPr>
            <w:r>
              <w:rPr>
                <w:rFonts w:ascii="仿宋_GB2312" w:hAnsi="仿宋_GB2312" w:cs="仿宋_GB2312" w:eastAsia="仿宋_GB2312"/>
              </w:rPr>
              <w:t>业绩一览表.docx 中小企业声明函 承诺书.docx 报价表 技术指标偏差表.docx 商务条款响应说明.docx 响应文件封面 法定代表人身份证明书.docx 供应商应提交的相关资格证明材料.docx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供应商报价未超过采购预算价或者最高限价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1、提供针对本项目的考古勘探方案质量控制，对质量检查措施、检验控制系统等有详细说明。 ①内容具体、完整、详细、全面、可行性强，计6-10分； ②内容欠缺、薄弱、仅能满足项目需求，计1-6分； ③未提供不得分。 2、提供针对本项目的考古勘探方案技术，供应商对考古勘探方案技术有详细说明。 ①内容具体、完整、详细、全面、可行性强，6-10分； ②内容欠缺、薄弱、仅能满足项目需求，计1-6分； ③未提供不得分。 3、提供针对本项目的工期目标和工作计划，包含工作任务、技术路线、人员分工和职责、工作进度、文物保护措施等，并对其有详细说明。 ①内容具体、完整、详细、全面、可行性强，计4-7分； ②内容欠缺、薄弱、仅能满足项目需求，计1-4分； ③未提供不得分。 4、提供针对本项目的考古勘探方案安全管理体系与措施，并对考古勘探方案安全管理体系与措施有详细说明。 ①内容具体、完整、详细、全面、可行性强，计4-8分； ②内容欠缺、薄弱、仅能满足项目需求，计 1-4分； ③未提供不得分。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提出针对本项目的具体服务承诺，包含接到项目后响应时间、完成时间、后续服务及过程服务等内容等，并对其有详细说明。 ①内容具体、完整、详细、全面、可行性强，计3-5分； ②内容欠缺、薄弱的、仅能满足项目需求，计 1-3分； ③未提供方案不得分。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提供针对本项目可能出现的安全情况进行应急预案及并提供具体措施。 ①急预案及措施针对性强，能及时解决问题，计3-5分； ②急预案及措施简单空泛计1-3分； ③未提供不计分。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拟投入本项目人员配备</w:t>
            </w:r>
          </w:p>
        </w:tc>
        <w:tc>
          <w:tcPr>
            <w:tcW w:type="dxa" w:w="2492"/>
          </w:tcPr>
          <w:p>
            <w:pPr>
              <w:pStyle w:val="null3"/>
            </w:pPr>
            <w:r>
              <w:rPr>
                <w:rFonts w:ascii="仿宋_GB2312" w:hAnsi="仿宋_GB2312" w:cs="仿宋_GB2312" w:eastAsia="仿宋_GB2312"/>
              </w:rPr>
              <w:t>根据供应商提供的项目组管理人员、技师、探工、资料员等配置情况，以其人数、技术职称、专业配置等进行比较。 ①项目组人员配置合理、分工及职责明确，计6-10分； ②项目组人员配置不合理、无明确的分工及职责，计1-6分； ③未提供人员配备不计分。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设备投入</w:t>
            </w:r>
          </w:p>
        </w:tc>
        <w:tc>
          <w:tcPr>
            <w:tcW w:type="dxa" w:w="2492"/>
          </w:tcPr>
          <w:p>
            <w:pPr>
              <w:pStyle w:val="null3"/>
            </w:pPr>
            <w:r>
              <w:rPr>
                <w:rFonts w:ascii="仿宋_GB2312" w:hAnsi="仿宋_GB2312" w:cs="仿宋_GB2312" w:eastAsia="仿宋_GB2312"/>
              </w:rPr>
              <w:t>根据采购要求能提供保障本项目顺利进行的设施、设备及工具，配置合理，根据所提供设备的贴合性、先进性、以及数量、品质、新旧程度等计1-5分。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1、提供近三年（2022年1月至今）考古勘探工作业绩，每提供一项得2分（以中标通知书或合同复印件为准），满分10分。 2、提供考古发掘单位出具的考古勘探验收意见书。一个优秀3分，良好2分，合格1分，不合格0分，提供2022年1月至今的证明材料（最多提供5份），满分15分。 以上业绩可重复。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满足竞争性磋商文件要求的有效报价中最低报价为最高得分点：报价最低计15分，其它报价所得分值按（最低报价／磋商报价）×15的公式计算。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