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版本号：SXLX25-02-054Z(F)20250714001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陕西省司法厅2025年陕西法治杂志办刊项目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SXLX25-02-054Z(F)</w:t>
      </w:r>
      <w:r>
        <w:br/>
      </w:r>
      <w:r>
        <w:br/>
      </w:r>
      <w:r>
        <w:br/>
      </w:r>
    </w:p>
    <w:p>
      <w:pPr>
        <w:pStyle w:val="null3"/>
        <w:jc w:val="center"/>
        <w:outlineLvl w:val="5"/>
      </w:pPr>
      <w:r>
        <w:rPr>
          <w:rFonts w:ascii="仿宋_GB2312" w:hAnsi="仿宋_GB2312" w:cs="仿宋_GB2312" w:eastAsia="仿宋_GB2312"/>
          <w:sz w:val="15"/>
          <w:b/>
        </w:rPr>
        <w:t>省司法厅机关</w:t>
      </w:r>
    </w:p>
    <w:p>
      <w:pPr>
        <w:pStyle w:val="null3"/>
        <w:jc w:val="center"/>
        <w:outlineLvl w:val="5"/>
      </w:pPr>
      <w:r>
        <w:rPr>
          <w:rFonts w:ascii="仿宋_GB2312" w:hAnsi="仿宋_GB2312" w:cs="仿宋_GB2312" w:eastAsia="仿宋_GB2312"/>
          <w:sz w:val="15"/>
          <w:b/>
        </w:rPr>
        <w:t>陕西隆信项目管理有限公司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省司法厅机关</w:t>
      </w:r>
      <w:r>
        <w:rPr>
          <w:rFonts w:ascii="仿宋_GB2312" w:hAnsi="仿宋_GB2312" w:cs="仿宋_GB2312" w:eastAsia="仿宋_GB2312"/>
        </w:rPr>
        <w:t>委托，拟对</w:t>
      </w:r>
      <w:r>
        <w:rPr>
          <w:rFonts w:ascii="仿宋_GB2312" w:hAnsi="仿宋_GB2312" w:cs="仿宋_GB2312" w:eastAsia="仿宋_GB2312"/>
        </w:rPr>
        <w:t>陕西省司法厅2025年陕西法治杂志办刊项目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SXLX25-02-054Z(F)</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陕西省司法厅2025年陕西法治杂志办刊项目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本项目为陕西省司法厅2025年陕西法治杂志办刊项目。主要为本次杂志进行组稿、设计、排版、出版、杂志选题策划、栏目设置等。</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省司法厅机关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陕西省西安市雁塔区建工路50号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029-87293217</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陕西省西安市雁塔区雁翔路111号赛格·中京坊公寓A一单元二层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魏晴霏、王小琼、任甜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029-88489979-8205</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采购包1：290,000.00元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采购包1：290,000.00元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依据《国家发展改革委关于进一步放开建设项目专业服务价格的通知》（发改价格〔2015〕299号）文件规定标准计算收取，本项目采购代理服务费不足陆仟按照陆仟收取。具体收费金额将在成交公告中公布。 请将采购代理服务费汇至下列指定账户： 开户名称：陕西隆信项目管理有限公司 开 户 行：招商银行股份有限公司西安土门支行 账 号：129904064810902 财务部电话：029-88489979-8501 注：此服务费应计入报价中，但不需要单独开列。</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省司法厅机关</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省司法厅机关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（1）按采购人要求完成项目服务内容及项目交付，并达到采购人验收要求。 （2）采购人对供应商服务期内的服务实施情况进行考核，结合考核情况和服务效果进行验收。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本项目为陕西省司法厅2025年陕西法治杂志办刊项目。主要为本次杂志进行组稿、设计、排版、出版、杂志选题策划、栏目设置等。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290,000.00</w:t>
      </w:r>
    </w:p>
    <w:p>
      <w:pPr>
        <w:pStyle w:val="null3"/>
      </w:pPr>
      <w:r>
        <w:rPr>
          <w:rFonts w:ascii="仿宋_GB2312" w:hAnsi="仿宋_GB2312" w:cs="仿宋_GB2312" w:eastAsia="仿宋_GB2312"/>
        </w:rPr>
        <w:t>采购包最高限价（元）: 290,000.00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2025年陕西法治杂志办刊项目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标的名称：2025年陕西法治杂志办刊项目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55" w:after="255"/>
              <w:jc w:val="left"/>
              <w:outlineLvl w:val="1"/>
            </w:pPr>
            <w:r>
              <w:rPr>
                <w:rFonts w:ascii="仿宋_GB2312" w:hAnsi="仿宋_GB2312" w:cs="仿宋_GB2312" w:eastAsia="仿宋_GB2312"/>
                <w:sz w:val="21"/>
                <w:b/>
                <w:color w:val="000000"/>
              </w:rPr>
              <w:t>一、项目概况及总体要求</w:t>
            </w:r>
          </w:p>
          <w:p>
            <w:pPr>
              <w:pStyle w:val="null3"/>
              <w:ind w:firstLine="367"/>
              <w:jc w:val="left"/>
            </w:pPr>
            <w:r>
              <w:rPr>
                <w:rFonts w:ascii="仿宋_GB2312" w:hAnsi="仿宋_GB2312" w:cs="仿宋_GB2312" w:eastAsia="仿宋_GB2312"/>
                <w:sz w:val="21"/>
                <w:color w:val="000000"/>
              </w:rPr>
              <w:t>本项目为</w:t>
            </w:r>
            <w:r>
              <w:rPr>
                <w:rFonts w:ascii="仿宋_GB2312" w:hAnsi="仿宋_GB2312" w:cs="仿宋_GB2312" w:eastAsia="仿宋_GB2312"/>
                <w:sz w:val="21"/>
                <w:color w:val="000000"/>
              </w:rPr>
              <w:t>陕西省司法厅</w:t>
            </w:r>
            <w:r>
              <w:rPr>
                <w:rFonts w:ascii="仿宋_GB2312" w:hAnsi="仿宋_GB2312" w:cs="仿宋_GB2312" w:eastAsia="仿宋_GB2312"/>
                <w:sz w:val="21"/>
                <w:color w:val="000000"/>
              </w:rPr>
              <w:t>2025年陕西法治杂志办刊项目。</w:t>
            </w:r>
            <w:r>
              <w:rPr>
                <w:rFonts w:ascii="仿宋_GB2312" w:hAnsi="仿宋_GB2312" w:cs="仿宋_GB2312" w:eastAsia="仿宋_GB2312"/>
                <w:sz w:val="21"/>
                <w:color w:val="000000"/>
              </w:rPr>
              <w:t>主要</w:t>
            </w:r>
            <w:r>
              <w:rPr>
                <w:rFonts w:ascii="仿宋_GB2312" w:hAnsi="仿宋_GB2312" w:cs="仿宋_GB2312" w:eastAsia="仿宋_GB2312"/>
                <w:sz w:val="21"/>
                <w:color w:val="000000"/>
              </w:rPr>
              <w:t>为本次杂志进行组稿、设计、排版、出版、杂志选题策划、栏目设置等。</w:t>
            </w:r>
          </w:p>
          <w:p>
            <w:pPr>
              <w:pStyle w:val="null3"/>
              <w:ind w:firstLine="369"/>
              <w:jc w:val="left"/>
            </w:pPr>
            <w:r>
              <w:rPr>
                <w:rFonts w:ascii="仿宋_GB2312" w:hAnsi="仿宋_GB2312" w:cs="仿宋_GB2312" w:eastAsia="仿宋_GB2312"/>
                <w:sz w:val="21"/>
                <w:b/>
                <w:color w:val="000000"/>
              </w:rPr>
              <w:t>本项目所属行业为其他未列明行业</w:t>
            </w:r>
            <w:r>
              <w:rPr>
                <w:rFonts w:ascii="仿宋_GB2312" w:hAnsi="仿宋_GB2312" w:cs="仿宋_GB2312" w:eastAsia="仿宋_GB2312"/>
                <w:sz w:val="21"/>
                <w:b/>
                <w:color w:val="000000"/>
              </w:rPr>
              <w:t>。</w:t>
            </w:r>
            <w:r>
              <w:rPr>
                <w:rFonts w:ascii="仿宋_GB2312" w:hAnsi="仿宋_GB2312" w:cs="仿宋_GB2312" w:eastAsia="仿宋_GB2312"/>
                <w:sz w:val="21"/>
                <w:color w:val="000000"/>
              </w:rPr>
              <w:t>（从业人员</w:t>
            </w:r>
            <w:r>
              <w:rPr>
                <w:rFonts w:ascii="仿宋_GB2312" w:hAnsi="仿宋_GB2312" w:cs="仿宋_GB2312" w:eastAsia="仿宋_GB2312"/>
                <w:sz w:val="21"/>
                <w:color w:val="000000"/>
              </w:rPr>
              <w:t>300人以下的为中小微型企业。其中，从业人员100人及以上的为中型企业；从业人员10人及以上的为小型企业；从业人员10人以下的为微型企业。）</w:t>
            </w:r>
          </w:p>
          <w:p>
            <w:pPr>
              <w:pStyle w:val="null3"/>
              <w:spacing w:before="150" w:after="150"/>
              <w:jc w:val="left"/>
              <w:outlineLvl w:val="1"/>
            </w:pPr>
            <w:r>
              <w:rPr>
                <w:rFonts w:ascii="仿宋_GB2312" w:hAnsi="仿宋_GB2312" w:cs="仿宋_GB2312" w:eastAsia="仿宋_GB2312"/>
                <w:sz w:val="21"/>
                <w:b/>
                <w:color w:val="000000"/>
              </w:rPr>
              <w:t>二、服务内容与要求</w:t>
            </w:r>
          </w:p>
          <w:p>
            <w:pPr>
              <w:pStyle w:val="null3"/>
              <w:ind w:firstLine="420"/>
              <w:jc w:val="left"/>
            </w:pPr>
            <w:r>
              <w:rPr>
                <w:rFonts w:ascii="仿宋_GB2312" w:hAnsi="仿宋_GB2312" w:cs="仿宋_GB2312" w:eastAsia="仿宋_GB2312"/>
                <w:sz w:val="21"/>
                <w:color w:val="000000"/>
              </w:rPr>
              <w:t>1、供应商需具备省级法治媒体宣传和出版的能力</w:t>
            </w:r>
            <w:r>
              <w:rPr>
                <w:rFonts w:ascii="仿宋_GB2312" w:hAnsi="仿宋_GB2312" w:cs="仿宋_GB2312" w:eastAsia="仿宋_GB2312"/>
                <w:sz w:val="21"/>
                <w:color w:val="000000"/>
              </w:rPr>
              <w:t>，至少有</w:t>
            </w:r>
            <w:r>
              <w:rPr>
                <w:rFonts w:ascii="仿宋_GB2312" w:hAnsi="仿宋_GB2312" w:cs="仿宋_GB2312" w:eastAsia="仿宋_GB2312"/>
                <w:sz w:val="21"/>
                <w:color w:val="000000"/>
              </w:rPr>
              <w:t>2名以上法律专家，具</w:t>
            </w:r>
            <w:r>
              <w:rPr>
                <w:rFonts w:ascii="仿宋_GB2312" w:hAnsi="仿宋_GB2312" w:cs="仿宋_GB2312" w:eastAsia="仿宋_GB2312"/>
                <w:sz w:val="21"/>
                <w:color w:val="000000"/>
              </w:rPr>
              <w:t>有办报办刊丰富经验。切实让杂志为陕西法治建设服务。杂志必须紧扣法治建设工作大局，守正创新，聚焦法治陕西、平安陕西建设主题，做强主题宣传、成就宣传、典型宣传，呈现出全省各级各部门奋力推进陕西法治建设的探索与成就。</w:t>
            </w:r>
          </w:p>
          <w:p>
            <w:pPr>
              <w:pStyle w:val="null3"/>
              <w:ind w:firstLine="420"/>
              <w:jc w:val="left"/>
            </w:pPr>
            <w:r>
              <w:rPr>
                <w:rFonts w:ascii="仿宋_GB2312" w:hAnsi="仿宋_GB2312" w:cs="仿宋_GB2312" w:eastAsia="仿宋_GB2312"/>
                <w:sz w:val="21"/>
                <w:color w:val="000000"/>
              </w:rPr>
              <w:t>2、供应商须成立杂志工作小组专门负责杂志的组稿、设计、排版、出版等工作，指派专人与陕西省司法厅对接，共同商定刊物定位、征订发行等重大事项。</w:t>
            </w:r>
          </w:p>
          <w:p>
            <w:pPr>
              <w:pStyle w:val="null3"/>
              <w:ind w:firstLine="420"/>
              <w:jc w:val="left"/>
            </w:pPr>
            <w:r>
              <w:rPr>
                <w:rFonts w:ascii="仿宋_GB2312" w:hAnsi="仿宋_GB2312" w:cs="仿宋_GB2312" w:eastAsia="仿宋_GB2312"/>
                <w:sz w:val="21"/>
                <w:color w:val="000000"/>
              </w:rPr>
              <w:t>3、进行市场调研，结合时代发展脉搏，同司法厅商榷杂志选题策划、栏目设置等工作，确保杂志能具有新颖、可读性，“引关圈粉”，让杂志切实发挥法治宣传作用。</w:t>
            </w:r>
          </w:p>
          <w:p>
            <w:pPr>
              <w:pStyle w:val="null3"/>
              <w:ind w:firstLine="420"/>
              <w:jc w:val="left"/>
            </w:pPr>
            <w:r>
              <w:rPr>
                <w:rFonts w:ascii="仿宋_GB2312" w:hAnsi="仿宋_GB2312" w:cs="仿宋_GB2312" w:eastAsia="仿宋_GB2312"/>
                <w:sz w:val="21"/>
                <w:color w:val="000000"/>
              </w:rPr>
              <w:t>4、杂志稿件采写必须依据陕西法治建设工作实际，并且要迎合三秦百姓法治需求，杂志稿件须由法治类资深记者进行实地采访，同时组织协调好特邀人员、通讯员撰写陕西法治建设宣传稿件，确保杂志稿件内容丰富、多样。</w:t>
            </w:r>
          </w:p>
          <w:p>
            <w:pPr>
              <w:pStyle w:val="null3"/>
              <w:ind w:firstLine="420"/>
              <w:jc w:val="left"/>
            </w:pPr>
            <w:r>
              <w:rPr>
                <w:rFonts w:ascii="仿宋_GB2312" w:hAnsi="仿宋_GB2312" w:cs="仿宋_GB2312" w:eastAsia="仿宋_GB2312"/>
                <w:sz w:val="21"/>
                <w:color w:val="000000"/>
              </w:rPr>
              <w:t>5、供应商须拥有强大的图片数据库及先进的印刷设备，并且建立一支专业的版面设计队伍，确保杂志能第一时间打动读者，直击阅读者法治思维深处，产生需求上的共鸣。</w:t>
            </w:r>
          </w:p>
          <w:p>
            <w:pPr>
              <w:pStyle w:val="null3"/>
              <w:ind w:firstLine="420"/>
              <w:jc w:val="left"/>
            </w:pPr>
            <w:r>
              <w:rPr>
                <w:rFonts w:ascii="仿宋_GB2312" w:hAnsi="仿宋_GB2312" w:cs="仿宋_GB2312" w:eastAsia="仿宋_GB2312"/>
                <w:sz w:val="21"/>
                <w:color w:val="000000"/>
              </w:rPr>
              <w:t>6、杂志小组进行内容编辑、组版等服务，必须严格执行“三审三校”，文字内容必须“零错误”。</w:t>
            </w:r>
          </w:p>
          <w:p>
            <w:pPr>
              <w:pStyle w:val="null3"/>
              <w:ind w:firstLine="420"/>
              <w:jc w:val="left"/>
            </w:pPr>
            <w:r>
              <w:rPr>
                <w:rFonts w:ascii="仿宋_GB2312" w:hAnsi="仿宋_GB2312" w:cs="仿宋_GB2312" w:eastAsia="仿宋_GB2312"/>
                <w:sz w:val="21"/>
                <w:color w:val="000000"/>
              </w:rPr>
              <w:t>7、能够组织协调好特邀人员、通讯员撰写陕西法治建设宣传稿件，确保杂志稿件内容丰富</w:t>
            </w:r>
            <w:r>
              <w:rPr>
                <w:rFonts w:ascii="仿宋_GB2312" w:hAnsi="仿宋_GB2312" w:cs="仿宋_GB2312" w:eastAsia="仿宋_GB2312"/>
                <w:sz w:val="21"/>
                <w:color w:val="000000"/>
              </w:rPr>
              <w:t>、多样，不断提升杂志内容质量，提高杂志的可读性和宣传度，扩大杂志覆盖面和影响力；</w:t>
            </w:r>
          </w:p>
          <w:p>
            <w:pPr>
              <w:pStyle w:val="null3"/>
              <w:ind w:firstLine="420"/>
              <w:jc w:val="left"/>
            </w:pPr>
            <w:r>
              <w:rPr>
                <w:rFonts w:ascii="仿宋_GB2312" w:hAnsi="仿宋_GB2312" w:cs="仿宋_GB2312" w:eastAsia="仿宋_GB2312"/>
                <w:sz w:val="21"/>
                <w:color w:val="000000"/>
              </w:rPr>
              <w:t>8、提供杂志印刷服务，杂志具体规格为成品尺寸205*275；封面规格为157克铜版纸；内文为80克铜版纸，彩色印刷；内文56页。</w:t>
            </w:r>
          </w:p>
          <w:p>
            <w:pPr>
              <w:pStyle w:val="null3"/>
              <w:ind w:firstLine="420"/>
              <w:jc w:val="left"/>
            </w:pPr>
            <w:r>
              <w:rPr>
                <w:rFonts w:ascii="仿宋_GB2312" w:hAnsi="仿宋_GB2312" w:cs="仿宋_GB2312" w:eastAsia="仿宋_GB2312"/>
                <w:sz w:val="21"/>
                <w:color w:val="000000"/>
              </w:rPr>
              <w:t>9、供应商提供杂志印刷及邮寄服务。</w:t>
            </w:r>
          </w:p>
          <w:p>
            <w:pPr>
              <w:pStyle w:val="null3"/>
              <w:spacing w:before="150" w:after="150"/>
              <w:jc w:val="left"/>
              <w:outlineLvl w:val="1"/>
            </w:pPr>
            <w:r>
              <w:rPr>
                <w:rFonts w:ascii="仿宋_GB2312" w:hAnsi="仿宋_GB2312" w:cs="仿宋_GB2312" w:eastAsia="仿宋_GB2312"/>
                <w:sz w:val="21"/>
                <w:b/>
                <w:color w:val="000000"/>
              </w:rPr>
              <w:t>三、本项目需要落实的政府采购政策</w:t>
            </w:r>
          </w:p>
          <w:p>
            <w:pPr>
              <w:pStyle w:val="null3"/>
              <w:spacing w:before="105" w:after="105"/>
              <w:ind w:firstLine="420"/>
              <w:jc w:val="both"/>
            </w:pPr>
            <w:r>
              <w:rPr>
                <w:rFonts w:ascii="仿宋_GB2312" w:hAnsi="仿宋_GB2312" w:cs="仿宋_GB2312" w:eastAsia="仿宋_GB2312"/>
                <w:sz w:val="21"/>
                <w:color w:val="000000"/>
              </w:rPr>
              <w:t>1、中小企业发展政策：《关于进一步加大政府采购支持中小企业力度的通知》（财库〔2022〕19号）《政府采购促进中小企业发展管理办法》（财库〔2020〕46号）；《财政部、司法部关于政府采购支持监狱企业发展有关问题的通知》（财库〔2014〕68号）；《关于促进残疾人就业政府采购政策的通知》（财库〔2017〕141号）；《陕西省中小企业政府采购信用融资办法》（陕财办采〔2018〕23号）。</w:t>
            </w:r>
          </w:p>
          <w:p>
            <w:pPr>
              <w:pStyle w:val="null3"/>
              <w:spacing w:before="105" w:after="105"/>
              <w:ind w:firstLine="420"/>
              <w:jc w:val="both"/>
            </w:pPr>
            <w:r>
              <w:rPr>
                <w:rFonts w:ascii="仿宋_GB2312" w:hAnsi="仿宋_GB2312" w:cs="仿宋_GB2312" w:eastAsia="仿宋_GB2312"/>
                <w:sz w:val="21"/>
                <w:color w:val="000000"/>
              </w:rPr>
              <w:t>2、绿色发展政策：《国务院办公厅关于建立政府强制采购节能产品制度的通知》（国办发〔2007〕51号）；《关于印发环境标志产品政府采购品目清单的通知》（财库〔2019〕18号）《关于印发节能产品政府采购品目清单的通知》（财库〔2019〕19号）；《财政部、国家发展改革委、生态环境部、市场监管总局关于调整优化节能产品、环境标志产品政府采购执行机制的通知》（财库〔2019〕9号）；《商品包装政府采购需求标准（试行）》和《快递包装政府采购需求标准（试行）》（财办库〔2020〕123号）。</w:t>
            </w:r>
          </w:p>
          <w:p>
            <w:pPr>
              <w:pStyle w:val="null3"/>
              <w:spacing w:before="105" w:after="105"/>
              <w:ind w:firstLine="420"/>
              <w:jc w:val="both"/>
            </w:pPr>
            <w:r>
              <w:rPr>
                <w:rFonts w:ascii="仿宋_GB2312" w:hAnsi="仿宋_GB2312" w:cs="仿宋_GB2312" w:eastAsia="仿宋_GB2312"/>
                <w:sz w:val="21"/>
                <w:color w:val="000000"/>
              </w:rPr>
              <w:t>3、支持本国产业政策：《财政部关于印发&lt;进口产品管理办法&gt;的通知》（财库〔2007〕119号）；《财政部办公厅关于政府采购进口产品管理有关问题的通知》（财办库〔2008〕248号）。</w:t>
            </w:r>
          </w:p>
          <w:p>
            <w:pPr>
              <w:pStyle w:val="null3"/>
              <w:spacing w:before="105" w:after="105"/>
              <w:ind w:firstLine="420"/>
              <w:jc w:val="both"/>
            </w:pPr>
            <w:r>
              <w:rPr>
                <w:rFonts w:ascii="仿宋_GB2312" w:hAnsi="仿宋_GB2312" w:cs="仿宋_GB2312" w:eastAsia="仿宋_GB2312"/>
                <w:sz w:val="21"/>
                <w:color w:val="000000"/>
              </w:rPr>
              <w:t>4、支持创新等政府采购政策。</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服务要求及特性，自行组织实施与管理，相关人员经过严格培训，能够胜任项目工作，保证该项目顺利进行。至少有2名以上法律专家，具有办报办刊丰富经验；供应商须成立杂志工作小组专门负责杂志的组稿、设计、排版、出版等工作，指派专人与陕西省司法厅对接，共同商定刊物定位、征订发行等重大事项。</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根据项目特性，自行配置投入有利于完成本项目服务的设施设备。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服务期限过半后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服务期限结束后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（1）按采购人要求完成项目服务内容及项目交付，并达到采购人验收要求。 （2）采购人对供应商服务期内的服务实施情况进行考核，结合考核情况和服务效果进行验收。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成交供应商在领取成交通知书时提供纸质版响应文件2套，应通过专用制作软件直接打印，确保与电子投标文件保持一致，不允许修改和补充。提交地点：陕西省西安市雁塔区雁翔路111号赛格·中京坊公寓A一单元二层招标二部。 二、供应商的报价是供应商响应本项目要求的全部工作内容的价格体现，包括供应商完成本项目所需的直接费、间接费、利润、税金及其他相关的一切费用。包括但不限于：人工费、印刷费、邮寄费、设备费、管理费、验收费、采购代理服务费、利润和税金等全部费用。在提供服务的过程中的任何遗漏，均由成交供应商免费提供，采购人将不再支付任何费用。 三、协商有效期 1.出现特殊情况需要延长响应有效期的，采购代理机构或采购人可于响应有效期满之前，以书面形式通知所有供应商延长响应有效期。供应商应予书面答复，同意延长的，应相应延长其协商保证金（如有）有效期，但不得要求或被允许修改其响应文件；供应商拒绝延长的，其响应文件失效，递交协商保证金的，供应商有权收回其协商保证金。 2.在响应有效期内，供应商撤销响应文件的，应承担采购文件和法律规定的责任。 3.成交供应商的响应有效期自动延长至合同终止为止。 四、分公司独立参与协商时，不能使用总公司的资质或业绩；总公司单独参与协商时，除总公司所投产品为分公司生产的产品外，不能使用分公司的资质或业绩。总公司授权分公司或分支机构参与协商的，可以使用总公司的资质或业绩。 五、恶意质疑、投诉的法律后果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六、签名是指手写签名或者加盖名章(含电子签名或电子印章)，盖章是指加盖单位印章。 七、资格审查小组说明：1、根据《中华人民共和国政府采购法》第二十三条规定，采购人应依法对供应商的资格进行审查。经采购人授权，资格审查工作可由资格审查小组完成。2、资格审查小组，由经采购人授权的采购人代表和采购代理机构工作人员3人及以上单数组成，采购代理机构项目经理担任资格审查小组组长。3、资格审查小组成立后，全体小组成员应当在签到表中签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供应商的营业执照等证明文件，自然人的身份证明文件。</w:t>
            </w:r>
          </w:p>
        </w:tc>
        <w:tc>
          <w:tcPr>
            <w:tcW w:type="dxa" w:w="3322"/>
          </w:tcPr>
          <w:p>
            <w:pPr>
              <w:pStyle w:val="null3"/>
            </w:pPr>
            <w:r>
              <w:rPr>
                <w:rFonts w:ascii="仿宋_GB2312" w:hAnsi="仿宋_GB2312" w:cs="仿宋_GB2312" w:eastAsia="仿宋_GB2312"/>
              </w:rPr>
              <w:t>根据“资格证明文件”中提供的要求和说明，提供符合自身条件且合法有效的主体资格证明材料。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法定代表人（单位负责人）参加协商的，提供本人身份证复印件；法定代表人（单位负责人）授权他人参加协商的，提供法定代表人（单位负责人）委托授权书及被授权代表的身份证复印件。</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按采购文件提供的格式进行响应声明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参加本次协商前3年内，在经营活动中没有重大违法记录的书面声明</w:t>
            </w:r>
          </w:p>
        </w:tc>
        <w:tc>
          <w:tcPr>
            <w:tcW w:type="dxa" w:w="3322"/>
          </w:tcPr>
          <w:p>
            <w:pPr>
              <w:pStyle w:val="null3"/>
            </w:pPr>
            <w:r>
              <w:rPr>
                <w:rFonts w:ascii="仿宋_GB2312" w:hAnsi="仿宋_GB2312" w:cs="仿宋_GB2312" w:eastAsia="仿宋_GB2312"/>
              </w:rPr>
              <w:t>按采购文件提供的格式进行响应声明。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供应商不得被列入“信用中国”网站(https://www.creditchina.gov.cn/ )“失信被执行人”（页面跳转至“中国执行信息公开网”http://zxgk.court.gov.cn/shixin/）、“重大税收违法失信主体”；不得处于中国政府采购网(http://www.ccgp.gov.cn/)“政府采购严重违法失信行为记录名单”中的禁止参加政府采购活动期间。</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供应商响应文件满足采购文件中的实质性要求。</w:t>
            </w:r>
          </w:p>
        </w:tc>
        <w:tc>
          <w:tcPr>
            <w:tcW w:type="dxa" w:w="1661"/>
          </w:tcPr>
          <w:p>
            <w:pPr>
              <w:pStyle w:val="null3"/>
            </w:pPr>
            <w:r>
              <w:rPr>
                <w:rFonts w:ascii="仿宋_GB2312" w:hAnsi="仿宋_GB2312" w:cs="仿宋_GB2312" w:eastAsia="仿宋_GB2312"/>
              </w:rPr>
              <w:t>响应文件封面 商务技术文件.docx 标的清单 报价表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协商过程中，协商小组认为供应商报价明显低于其他通过符合性审查供应商的报价，有可能影响产品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报价合理性的，协商小组应当将其响应文件作为无效处理。</w:t>
            </w:r>
          </w:p>
        </w:tc>
        <w:tc>
          <w:tcPr>
            <w:tcW w:type="dxa" w:w="1661"/>
          </w:tcPr>
          <w:p>
            <w:pPr>
              <w:pStyle w:val="null3"/>
            </w:pPr>
            <w:r>
              <w:rPr>
                <w:rFonts w:ascii="仿宋_GB2312" w:hAnsi="仿宋_GB2312" w:cs="仿宋_GB2312" w:eastAsia="仿宋_GB2312"/>
              </w:rPr>
              <w:t>商务技术文件.docx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响应文件中不存在采购文件规定的无效情形</w:t>
            </w:r>
          </w:p>
        </w:tc>
        <w:tc>
          <w:tcPr>
            <w:tcW w:type="dxa" w:w="1661"/>
          </w:tcPr>
          <w:p>
            <w:pPr>
              <w:pStyle w:val="null3"/>
            </w:pPr>
            <w:r>
              <w:rPr>
                <w:rFonts w:ascii="仿宋_GB2312" w:hAnsi="仿宋_GB2312" w:cs="仿宋_GB2312" w:eastAsia="仿宋_GB2312"/>
              </w:rPr>
              <w:t>响应文件封面 中小企业声明函 残疾人福利性单位声明函 商务技术文件.docx 标的清单 报价表 响应函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响应文件上法定代表人（单位负责人）或其委托代理人的签名齐全并加盖单位章。</w:t>
            </w:r>
          </w:p>
        </w:tc>
        <w:tc>
          <w:tcPr>
            <w:tcW w:type="dxa" w:w="1661"/>
          </w:tcPr>
          <w:p>
            <w:pPr>
              <w:pStyle w:val="null3"/>
            </w:pPr>
            <w:r>
              <w:rPr>
                <w:rFonts w:ascii="仿宋_GB2312" w:hAnsi="仿宋_GB2312" w:cs="仿宋_GB2312" w:eastAsia="仿宋_GB2312"/>
              </w:rPr>
              <w:t>响应文件封面 中小企业声明函 残疾人福利性单位声明函 商务技术文件.docx 标的清单 报价表 响应函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中小企业声明函 残疾人福利性单位声明函 商务技术文件.docx 标的清单 报价表 响应函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只能有一个有效报价，不得提交选择性报价，且报价不超过第二章“供应商须知”前附表规定的采购预算金额或最高限价。</w:t>
            </w:r>
          </w:p>
        </w:tc>
        <w:tc>
          <w:tcPr>
            <w:tcW w:type="dxa" w:w="1661"/>
          </w:tcPr>
          <w:p>
            <w:pPr>
              <w:pStyle w:val="null3"/>
            </w:pPr>
            <w:r>
              <w:rPr>
                <w:rFonts w:ascii="仿宋_GB2312" w:hAnsi="仿宋_GB2312" w:cs="仿宋_GB2312" w:eastAsia="仿宋_GB2312"/>
              </w:rPr>
              <w:t>商务技术文件.docx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应满足采购文件中要求的服务期限</w:t>
            </w:r>
          </w:p>
        </w:tc>
        <w:tc>
          <w:tcPr>
            <w:tcW w:type="dxa" w:w="1661"/>
          </w:tcPr>
          <w:p>
            <w:pPr>
              <w:pStyle w:val="null3"/>
            </w:pPr>
            <w:r>
              <w:rPr>
                <w:rFonts w:ascii="仿宋_GB2312" w:hAnsi="仿宋_GB2312" w:cs="仿宋_GB2312" w:eastAsia="仿宋_GB2312"/>
              </w:rPr>
              <w:t>商务技术文件.docx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应符合采购文件中的规定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详见附件：商务技术文件.docx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