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AF171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default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</w:pPr>
      <w:bookmarkStart w:id="0" w:name="_Toc217446094"/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lang w:val="en-US" w:eastAsia="zh-CN"/>
        </w:rPr>
        <w:t>采购需求</w:t>
      </w:r>
    </w:p>
    <w:p w14:paraId="1E563FDF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after="156" w:afterLines="50"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一、项目概况及总体要求</w:t>
      </w:r>
    </w:p>
    <w:p w14:paraId="7D9688BD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67" w:firstLineChars="175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本项目为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陕西省司法厅2025年陕西法治杂志办刊项目。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主要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为本次杂志进行组稿、设计、排版、出版、杂志选题策划、栏目设置等。</w:t>
      </w:r>
    </w:p>
    <w:p w14:paraId="02F0FD99">
      <w:pPr>
        <w:pStyle w:val="5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69" w:firstLineChars="175"/>
        <w:textAlignment w:val="baseline"/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本项目所属行业为其他未列明行业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（从业人员300人以下的为中小微型企业。其中，从业人员100人及以上的为中型企业；从业人员10人及以上的为小型企业；从业人员10人以下的为微型企业。）</w:t>
      </w:r>
    </w:p>
    <w:p w14:paraId="6BD91971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after="156" w:afterLines="50"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1" w:name="_Toc12014425"/>
      <w:r>
        <w:rPr>
          <w:rFonts w:hint="eastAsia" w:ascii="宋体" w:hAnsi="宋体" w:eastAsia="宋体" w:cs="宋体"/>
          <w:color w:val="auto"/>
          <w:sz w:val="21"/>
          <w:szCs w:val="21"/>
        </w:rPr>
        <w:t>二、服务内容与要求</w:t>
      </w:r>
      <w:bookmarkEnd w:id="1"/>
    </w:p>
    <w:bookmarkEnd w:id="0"/>
    <w:p w14:paraId="0924CAC0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1、供应商需具备省级法治媒体宣传和出版的能力</w:t>
      </w:r>
      <w:r>
        <w:rPr>
          <w:rFonts w:hint="eastAsia" w:ascii="宋体" w:hAnsi="宋体" w:eastAsia="宋体" w:cs="宋体"/>
          <w:lang w:val="en-US" w:eastAsia="zh-CN"/>
        </w:rPr>
        <w:t>，至少有</w:t>
      </w:r>
      <w:r>
        <w:rPr>
          <w:rFonts w:hint="eastAsia" w:ascii="宋体" w:hAnsi="宋体" w:eastAsia="宋体" w:cs="宋体"/>
          <w:lang w:val="en" w:eastAsia="zh-CN"/>
        </w:rPr>
        <w:t>2名以上法律专家，具</w:t>
      </w:r>
      <w:r>
        <w:rPr>
          <w:rFonts w:hint="eastAsia" w:ascii="宋体" w:hAnsi="宋体" w:eastAsia="宋体" w:cs="宋体"/>
          <w:lang w:val="en-US" w:eastAsia="zh-CN"/>
        </w:rPr>
        <w:t>有办报办刊丰富经验。切实让杂志为陕西法治建设服务。杂志必须紧扣法治建设工作大局，守正创新，聚焦法治陕西、平安陕西建设主题，做强主题宣传、成就宣传、典型宣传，呈现出全省各级各部门奋力推进陕西法治建设的探索与成就。</w:t>
      </w:r>
    </w:p>
    <w:p w14:paraId="432AACB4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2、供应商须成立杂志工作小组专门负责杂志的组稿、设计、排版、出版等工作，指派专人与陕西省司法厅对接，共同商定刊物定位、征订发行等重大事项。</w:t>
      </w:r>
    </w:p>
    <w:p w14:paraId="5424E747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3、进行市场调研，结合时代发展脉搏，同司法厅商榷杂志选题策划、栏目设置等工作，确保杂志能具有新颖、可读性，“引关圈粉”，让杂志切实发挥法治宣传作用。</w:t>
      </w:r>
    </w:p>
    <w:p w14:paraId="3EE709E0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、杂志稿件采写必须依据陕西法治建设工作实际，并且要迎合三秦百姓法治需求，杂志稿件须由法治类资深记者进行实地采访，同时组织协调好特邀人员、通讯员撰写陕西法治建设宣传稿件，确保杂志稿件内容丰富、多样。</w:t>
      </w:r>
    </w:p>
    <w:p w14:paraId="1A407DB2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5、供应商须拥有强大的图片数据库及先进的印刷设备，并且建立一支专业的版面设计队伍，确保杂志能第一时间打动读者，直击阅读者法治思维深处，产生需求上的共鸣。</w:t>
      </w:r>
    </w:p>
    <w:p w14:paraId="4505EADA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6、杂志小组进行内容编辑、组版等服务，必须严格执行“三审三校”，文字内容必须“零错误”。</w:t>
      </w:r>
    </w:p>
    <w:p w14:paraId="794762B4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lang w:val="en-US" w:eastAsia="zh-CN"/>
        </w:rPr>
        <w:t>7、能够组织协调好特邀人员、通讯员撰写陕西法治建设宣传稿件，确保杂志稿件内容丰富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、多样，不断提升杂志内容质量，提高杂志的可读性和宣传度，扩大杂志覆盖面和影响力；</w:t>
      </w:r>
    </w:p>
    <w:p w14:paraId="268DD156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8、提供杂志印刷服务，杂志具体规格为成品尺寸205*275；封面规格为157克铜版纸；内文为80克铜版纸，彩色印刷；内文56页。</w:t>
      </w:r>
    </w:p>
    <w:p w14:paraId="65AD0365">
      <w:pPr>
        <w:pStyle w:val="3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9、供应商提供杂志印刷及邮寄服务。</w:t>
      </w:r>
    </w:p>
    <w:p w14:paraId="3967BB15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6" w:beforeLines="50" w:after="156" w:afterLines="50" w:line="360" w:lineRule="auto"/>
        <w:textAlignment w:val="baseline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三、本项目需要落实的政府采购政策</w:t>
      </w:r>
    </w:p>
    <w:p w14:paraId="74574ED4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1" w:after="0" w:afterAutospacing="1" w:line="360" w:lineRule="auto"/>
        <w:ind w:right="0" w:rightChars="0" w:firstLine="42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1、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2D9D3961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1" w:after="0" w:afterAutospacing="1" w:line="360" w:lineRule="auto"/>
        <w:ind w:right="0" w:rightChars="0" w:firstLine="42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2、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79B79097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1" w:after="0" w:afterAutospacing="1" w:line="360" w:lineRule="auto"/>
        <w:ind w:right="0" w:rightChars="0" w:firstLine="42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3、支持本国产业政策：《财政部关于印发&lt;进口产品管理办法&gt;的通知》（财库〔2007〕119号）；《财政部办公厅关于政府采购进口产品管理有关问题的通知》（财办库〔2008〕248号）。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08BABEDF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1" w:after="0" w:afterAutospacing="1" w:line="360" w:lineRule="auto"/>
        <w:ind w:right="0" w:rightChars="0" w:firstLine="420" w:firstLineChars="200"/>
        <w:jc w:val="both"/>
        <w:textAlignment w:val="baseline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4、支持创新等政府采购政策。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505F6"/>
    <w:rsid w:val="634E31D8"/>
    <w:rsid w:val="7825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4">
    <w:name w:val="heading 2"/>
    <w:basedOn w:val="1"/>
    <w:next w:val="5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szCs w:val="24"/>
    </w:r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Body Text First Indent 2"/>
    <w:basedOn w:val="7"/>
    <w:next w:val="5"/>
    <w:qFormat/>
    <w:uiPriority w:val="0"/>
    <w:pPr>
      <w:ind w:firstLine="420" w:firstLineChars="200"/>
    </w:pPr>
  </w:style>
  <w:style w:type="paragraph" w:styleId="7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1326</Words>
  <Characters>1396</Characters>
  <Lines>0</Lines>
  <Paragraphs>0</Paragraphs>
  <TotalTime>0</TotalTime>
  <ScaleCrop>false</ScaleCrop>
  <LinksUpToDate>false</LinksUpToDate>
  <CharactersWithSpaces>1396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2025-07-14T12:27:00Z</dcterms:created>
  <dc:creator>Administrator</dc:creator>
  <cp:lastModifiedBy>Lenovo</cp:lastModifiedBy>
  <dcterms:modified xsi:type="dcterms:W3CDTF">2025-07-15T03:36:57Z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0ABB87E26AFE4865818E29E8D332C546_12</vt:lpwstr>
  </property>
</Properties>
</file>