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版本号：HQX-2025(032)20250711001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杨凌监狱中水、排水系统维修改造项目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HQX-2025(032)</w:t>
      </w:r>
      <w:r>
        <w:br/>
      </w:r>
      <w:r>
        <w:br/>
      </w:r>
      <w:r>
        <w:br/>
      </w:r>
    </w:p>
    <w:p>
      <w:pPr>
        <w:pStyle w:val="null3"/>
        <w:jc w:val="center"/>
        <w:outlineLvl w:val="2"/>
      </w:pPr>
      <w:r>
        <w:rPr>
          <w:rFonts w:ascii="仿宋_GB2312" w:hAnsi="仿宋_GB2312" w:cs="仿宋_GB2312" w:eastAsia="仿宋_GB2312"/>
          <w:sz w:val="28"/>
          <w:b/>
        </w:rPr>
        <w:t>陕西省杨凌监狱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陕西省杨凌监狱</w:t>
      </w:r>
      <w:r>
        <w:rPr>
          <w:rFonts w:ascii="仿宋_GB2312" w:hAnsi="仿宋_GB2312" w:cs="仿宋_GB2312" w:eastAsia="仿宋_GB2312"/>
        </w:rPr>
        <w:t>委托，拟对</w:t>
      </w:r>
      <w:r>
        <w:rPr>
          <w:rFonts w:ascii="仿宋_GB2312" w:hAnsi="仿宋_GB2312" w:cs="仿宋_GB2312" w:eastAsia="仿宋_GB2312"/>
        </w:rPr>
        <w:t>杨凌监狱中水、排水系统维修改造项目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HQX-2025(032)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杨凌监狱中水、排水系统维修改造项目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杨凌监狱中水、排水系统维修改造项目。施工内容:拆除废水管道及废水检查井，清理疏通全部废水管道，冲洗中水站相关设施内的污泥废物，中水站损坏设备拆除并更换，废水系统新增4座隔油池、2座化粪池、27座废水检查井，新建废水管道，地面硬化28*15m(100mmC25混凝土路），恢复室外绿化种植草场地面积850㎡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采购包1（杨凌监狱中水、排水系统维修改造项目）：属于专门面向中小企业采购。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响应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8、供应商施工资质要求：供应商须具备【建筑工程】施工总承包三级及以上资质，并具有建设行政主管部门核发的有效安全生产许可证；供应商需在项目电子化交易系统中按要求提供证明资料并进行电子签章；</w:t>
      </w:r>
    </w:p>
    <w:p>
      <w:pPr>
        <w:pStyle w:val="null3"/>
      </w:pPr>
      <w:r>
        <w:rPr>
          <w:rFonts w:ascii="仿宋_GB2312" w:hAnsi="仿宋_GB2312" w:cs="仿宋_GB2312" w:eastAsia="仿宋_GB2312"/>
        </w:rPr>
        <w:t>9、拟派项目经理要求：拟派项目经理具有【建筑工程】专业二级及以上注册建造师资格，具有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10、官方网站可查询：供应商及拟派项目经理须在“陕西省建筑市场监管与诚信信息发布平台”官方网站可查询，供应商需在项目电子化交易系统中按要求提供证明资料并进行电子签章；</w:t>
      </w:r>
    </w:p>
    <w:p>
      <w:pPr>
        <w:pStyle w:val="null3"/>
      </w:pPr>
      <w:r>
        <w:rPr>
          <w:rFonts w:ascii="仿宋_GB2312" w:hAnsi="仿宋_GB2312" w:cs="仿宋_GB2312" w:eastAsia="仿宋_GB2312"/>
        </w:rPr>
        <w:t>11、控股关系：单位负责人为同一人或者存在直接控股、管理关系的不同供应商，不得参加同一合同项下的磋商活动，供应商需在项目电子化交易系统中按要求提供证明资料并进行电子签章；</w:t>
      </w:r>
    </w:p>
    <w:p>
      <w:pPr>
        <w:pStyle w:val="null3"/>
      </w:pPr>
      <w:r>
        <w:rPr>
          <w:rFonts w:ascii="仿宋_GB2312" w:hAnsi="仿宋_GB2312" w:cs="仿宋_GB2312" w:eastAsia="仿宋_GB2312"/>
        </w:rPr>
        <w:t>12、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13、非联合体磋商声明：本项目不接受联合体磋商，供应商需在项目电子化交易系统中按要求提供证明资料并进行电子签章。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陕西省杨凌监狱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陕西省杨凌示范区滨河东路2号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029-68005173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 1 号楼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马梅、梁乐乐、马青青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有关收费标准国家计委关于印发《招标代理服务收费管理暂行办法》的通知（计价格[2002]1980号）文件下浮3%收取，为固定总价人民币大写：捌仟柒佰叁拾元整（小写：8730.00 元）。 造价咨询费按照关于我省工程造价咨询服务收费标准有关问题的通知陕价行发〔2014〕88号文件下浮3%收取。固定总价人民币大写：叁仟柒佰伍拾元整（小写：3750.00 元）。 费用合计人民币大写：壹万贰仟肆佰捌拾元整（小写：12480.00元）。 成交人需在领取成交通知书时向采购代理公司交纳招标代理服务费和造价咨询费。本费用已包含在投标报价中，采购人不在另行单独支付。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陕西省杨凌监狱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陕西省杨凌监狱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陕西省杨凌监狱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联系人：马梅、梁乐乐、马青青</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 1 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861,000.00</w:t>
      </w:r>
    </w:p>
    <w:p>
      <w:pPr>
        <w:pStyle w:val="null3"/>
      </w:pPr>
      <w:r>
        <w:rPr>
          <w:rFonts w:ascii="仿宋_GB2312" w:hAnsi="仿宋_GB2312" w:cs="仿宋_GB2312" w:eastAsia="仿宋_GB2312"/>
        </w:rPr>
        <w:t>采购包最高限价（元）: 860,796.61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中水排水项目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861,000.00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标的名称：中水排水项目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针对本项目的施工，必须达到国家及行业现行技术规范标准，符合国家及行业验收合格标准。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满足磋商文件、工程量清单等要求。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 2、质量要求：合格。 3、付款方式为：合同签订且成交人进入施工现场后，采购人向成交人支付签订合同价款的30%作为预付款（其预付款中已包含安全文明施工措施费），成交人按采购人要求开具增值税发票；根据施工进度付款，工程竣工验收合格后，采购人向成交人支付至签订合同价款的85%，成交人按采购人要求开具增值税发票；工程结算审计后，采购人向成交人付清本项目剩余款项，成交人按采购人要求开具增值税发票。 4、缺陷责任期：12个月。 5、本项目在电子化交易系统最终磋商报价时，需填报磋商总报价，并在附件上传与最终磋商总报价相对应的已标价工程量清单报价表，已标价工程量清单报价表符合磋商文件要求，此表将作为签订合同的附件。 6、本项目采用固定综合单价方式，工程量据实结算，供应商应充分考虑施工过程中价格的风险因素并包含在此次磋商报价中，若因承包方原因产生额外费用，承包方自行承担。 7、中小企业说明： 本项目专门面向中小企业采购，总体预留比例为100.00%，不再执行价格折扣优惠政策。 8、供应商的磋商总报价不得高于此最高投标限价，否则按照无效标处理。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供应商施工资质要求</w:t>
            </w:r>
          </w:p>
        </w:tc>
        <w:tc>
          <w:tcPr>
            <w:tcW w:type="dxa" w:w="3322"/>
          </w:tcPr>
          <w:p>
            <w:pPr>
              <w:pStyle w:val="null3"/>
            </w:pPr>
            <w:r>
              <w:rPr>
                <w:rFonts w:ascii="仿宋_GB2312" w:hAnsi="仿宋_GB2312" w:cs="仿宋_GB2312" w:eastAsia="仿宋_GB2312"/>
              </w:rPr>
              <w:t>供应商须具备【建筑工程】施工总承包三级及以上资质，并具有建设行政主管部门核发的有效安全生产许可证；供应商需在项目电子化交易系统中按要求提供证明资料并进行电子签章；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拟派项目经理具有【建筑工程】专业二级及以上注册建造师资格，具有合格有效的安全生产考核合格证（B证），且无在建项目，供应商需在项目电子化交易系统中按要求提供证明资料并进行电子签章；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拟派项目经理简历表.docx 项目组人员构成汇总表.docx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官方网站可查询</w:t>
            </w:r>
          </w:p>
        </w:tc>
        <w:tc>
          <w:tcPr>
            <w:tcW w:type="dxa" w:w="3322"/>
          </w:tcPr>
          <w:p>
            <w:pPr>
              <w:pStyle w:val="null3"/>
            </w:pPr>
            <w:r>
              <w:rPr>
                <w:rFonts w:ascii="仿宋_GB2312" w:hAnsi="仿宋_GB2312" w:cs="仿宋_GB2312" w:eastAsia="仿宋_GB2312"/>
              </w:rPr>
              <w:t>供应商及拟派项目经理须在“陕西省建筑市场监管与诚信信息发布平台”官方网站可查询，供应商需在项目电子化交易系统中按要求提供证明资料并进行电子签章；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已标价工程量清单 磋商保证金.docx 供应商认为需要提交的其他资料.docx 商务、技术偏离表.docx 项目组人员构成汇总表.docx 资格证明文件.docx 施工组织设计.docx 供应商承诺书.docx 企业近年完成的类似项目业绩汇总表.docx 响应文件封面 拟派项目经理简历表.docx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响应文件需在项目电子化交易系统中按竞争性磋商文件要求签署并进行电子签章。</w:t>
            </w:r>
          </w:p>
        </w:tc>
        <w:tc>
          <w:tcPr>
            <w:tcW w:type="dxa" w:w="1661"/>
          </w:tcPr>
          <w:p>
            <w:pPr>
              <w:pStyle w:val="null3"/>
            </w:pPr>
            <w:r>
              <w:rPr>
                <w:rFonts w:ascii="仿宋_GB2312" w:hAnsi="仿宋_GB2312" w:cs="仿宋_GB2312" w:eastAsia="仿宋_GB2312"/>
              </w:rPr>
              <w:t>已标价工程量清单 磋商保证金.docx 商务、技术偏离表.docx 项目组人员构成汇总表.docx 资格证明文件.docx 施工组织设计.docx 供应商承诺书.docx 企业近年完成的类似项目业绩汇总表.docx 响应文件封面 拟派项目经理简历表.docx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供应商每次报价只能有一个有效报价，原则上二次报价为最后报价，且一次报价不得超过最高投标限价，二次报价不得超过一次报价和最高投标限价。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供应商应按照竞争性磋商文件的规定缴纳磋商保证金。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响应文件中未含有采购人不能接受的附加条件的或其他情形。</w:t>
            </w:r>
          </w:p>
        </w:tc>
        <w:tc>
          <w:tcPr>
            <w:tcW w:type="dxa" w:w="1661"/>
          </w:tcPr>
          <w:p>
            <w:pPr>
              <w:pStyle w:val="null3"/>
            </w:pPr>
            <w:r>
              <w:rPr>
                <w:rFonts w:ascii="仿宋_GB2312" w:hAnsi="仿宋_GB2312" w:cs="仿宋_GB2312" w:eastAsia="仿宋_GB2312"/>
              </w:rPr>
              <w:t>响应文件封面 已标价工程量清单 供应商认为需要提交的其他资料.docx 报价函 标的清单 商务、技术偏离表.docx 响应函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评审得分相同的，按照最后报价由低到高的顺序推荐。评审得分且最后报价相同的，按照施工组织设计、近年完成类似项目业绩、项目经理及业绩，单项得分高者优先，决定中标候选顺序。</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近年完成类似项目业绩</w:t>
            </w:r>
          </w:p>
        </w:tc>
        <w:tc>
          <w:tcPr>
            <w:tcW w:type="dxa" w:w="2492"/>
          </w:tcPr>
          <w:p>
            <w:pPr>
              <w:pStyle w:val="null3"/>
            </w:pPr>
            <w:r>
              <w:rPr>
                <w:rFonts w:ascii="仿宋_GB2312" w:hAnsi="仿宋_GB2312" w:cs="仿宋_GB2312" w:eastAsia="仿宋_GB2312"/>
              </w:rPr>
              <w:t>供应商提供自2022年1月1日至本项目响应文件递交截止时间前的类似项目业绩证明材料，每提供1项得1分，最多得3分。未提供的不得分。 评审依据：提供中标/成交通知书或合同协议书的复印件或扫描件加盖公章，时间以合同签订时间为准。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企业近年完成的类似项目业绩汇总表.docx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拟派项目经理具备高级职称得2分；中级职称得1分；其余情况不得分。 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项目组人员构成汇总表.docx</w:t>
            </w:r>
          </w:p>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供应商提供自2022年1月1日至本项目响应文件递交截止时间前类似项目业绩证明材料，每提供1项得1分，最多得2分。未提供的不得分。 评审依据：提供中标/成交通知书或合同协议书的复印件或扫描件加盖公章，时间以合同签订时间为准。上述证明文件中须体现项目经理的姓名。（拟派项目经理业绩与企业业绩可重复计分）。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1）项目部组织机构设置合理，配备了相应的管理人员，管理人员包含项目经理、技术负责人、施工员、质量员、安全员、材料员、资料员、财务人员，管理人员均具有相应的岗位证书，满足以上配置要求的得8分； 2）管理人员至少有 1名项目经理、1名技术负责人、1名质量员，1名安全员，其他管理人员（施工员、材料员、资料员、财务人员）缺少一个在满分的基础上扣1分；评审依据：提供身份证和相应岗位证书，评审时以供应商提供加盖公章的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项目组人员构成汇总表.docx</w:t>
            </w:r>
          </w:p>
        </w:tc>
      </w:tr>
      <w:tr>
        <w:tc>
          <w:tcPr>
            <w:tcW w:type="dxa" w:w="831"/>
            <w:vMerge/>
          </w:tcPr>
          <w:p/>
        </w:tc>
        <w:tc>
          <w:tcPr>
            <w:tcW w:type="dxa" w:w="1661"/>
          </w:tcPr>
          <w:p>
            <w:pPr>
              <w:pStyle w:val="null3"/>
            </w:pPr>
            <w:r>
              <w:rPr>
                <w:rFonts w:ascii="仿宋_GB2312" w:hAnsi="仿宋_GB2312" w:cs="仿宋_GB2312" w:eastAsia="仿宋_GB2312"/>
              </w:rPr>
              <w:t>项目部人员岗位职责</w:t>
            </w:r>
          </w:p>
        </w:tc>
        <w:tc>
          <w:tcPr>
            <w:tcW w:type="dxa" w:w="2492"/>
          </w:tcPr>
          <w:p>
            <w:pPr>
              <w:pStyle w:val="null3"/>
            </w:pPr>
            <w:r>
              <w:rPr>
                <w:rFonts w:ascii="仿宋_GB2312" w:hAnsi="仿宋_GB2312" w:cs="仿宋_GB2312" w:eastAsia="仿宋_GB2312"/>
              </w:rPr>
              <w:t>岗位职责明确，得(2.5-5]分； 岗位职责模糊，得(0-2.5]分；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方案全面、具体、可行、科学合理，得(10-15]分； 方案较为合理、规范，得(5-10]分； 方案简单，得(0-5]分。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施工进度及确保工期的技术组织措施</w:t>
            </w:r>
          </w:p>
        </w:tc>
        <w:tc>
          <w:tcPr>
            <w:tcW w:type="dxa" w:w="2492"/>
          </w:tcPr>
          <w:p>
            <w:pPr>
              <w:pStyle w:val="null3"/>
            </w:pPr>
            <w:r>
              <w:rPr>
                <w:rFonts w:ascii="仿宋_GB2312" w:hAnsi="仿宋_GB2312" w:cs="仿宋_GB2312" w:eastAsia="仿宋_GB2312"/>
              </w:rPr>
              <w:t>进度计划全面、科学、合理，措施内容科学具体，有针对性，得(3-6]分； 进度计划不够全面、科学、合理，措施内容不够具体，得(0-3]分；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措施内容科学可行，有针对性且内容丰富，得(5-10]分； 措施内容较为科学可行，有针对性，得(0-5]分；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措施内容全面、具体，得(4-7]分； 措施内容不够全面，得(0-4]分； 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措施内容科学具体，有针对性，得(3-5]分； 措施内容不够具体，得(0-3]分。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劳动力安排计划情况表</w:t>
            </w:r>
          </w:p>
        </w:tc>
        <w:tc>
          <w:tcPr>
            <w:tcW w:type="dxa" w:w="2492"/>
          </w:tcPr>
          <w:p>
            <w:pPr>
              <w:pStyle w:val="null3"/>
            </w:pPr>
            <w:r>
              <w:rPr>
                <w:rFonts w:ascii="仿宋_GB2312" w:hAnsi="仿宋_GB2312" w:cs="仿宋_GB2312" w:eastAsia="仿宋_GB2312"/>
              </w:rPr>
              <w:t xml:space="preserve"> 劳动力安排计划等全面、科学、合理，得(1.5-3]分； 劳动力安排计划等不够全面、科学、合理，得(0-1.5]分； 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施工机械配备全面、具体、可行、科学合理，得(2-4]分； 施工机械配备简单，得(0-2]分。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详见附件：企业近年完成的类似项目业绩汇总表.docx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详见附件：项目组人员构成汇总表.docx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