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版本号：XYTYXA2025--011.2B120250711001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普通国省干线公路工可研技术审查(二次)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XYTYXA2025--011.2B1</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普通国省干线公路工可研技术审查(二次)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XYTYXA2025--011.2B1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普通国省干线公路工可研技术审查(二次)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普通国省干线公路工可研技术审查（采购包2）（二次）概况如下；（G244凤翔经陈仓至太白公路）、（G310潼关(陕豫界)至华阴潼关界公路）、（S302神木马家滩至大河塔公路）、（G337神木大保当镇过境公路）、（G210建华寺至延安公路改扩建工程）、（G341延川县文安驿镇薛家沟村改线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1、全国公路建设市场信用信息管理系统查询：供应商未被全国公路建设市场监督管理查询系统（https://hwdms.mot.gov.cn/BMWebSite/）列入不良行为记录；</w:t>
      </w:r>
    </w:p>
    <w:p>
      <w:pPr>
        <w:pStyle w:val="null3"/>
      </w:pPr>
      <w:r>
        <w:rPr>
          <w:rFonts w:ascii="仿宋_GB2312" w:hAnsi="仿宋_GB2312" w:cs="仿宋_GB2312" w:eastAsia="仿宋_GB2312"/>
        </w:rPr>
        <w:t>2、全国投资项目在线审批监管平台查询：供应商应为全国投资项目在线审批监管平台；（http://www.tzxm.gov.cn/）备案的工程咨询单位，且工程咨询专业必须包含公路，服务范围必须包含评估咨询，且供应商名称与该名录中的相应企业名称完全一致；</w:t>
      </w:r>
    </w:p>
    <w:p>
      <w:pPr>
        <w:pStyle w:val="null3"/>
      </w:pPr>
      <w:r>
        <w:rPr>
          <w:rFonts w:ascii="仿宋_GB2312" w:hAnsi="仿宋_GB2312" w:cs="仿宋_GB2312" w:eastAsia="仿宋_GB2312"/>
        </w:rPr>
        <w:t>3、信誉要求：未被列入为“信用中国”网站（www.creditchina.gov.cn）重大税收违法案件当事人名单的供应商，未被列入“中国执行信息公开网”（http://zxgk.court.gov.cn/shixin/）失信被执行人的供应商和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4、若是本采购包内任何一个项目的可研报告编制单位，不得参与本采购包的投标；：若是本采购包内任何一个项目的可研报告编制单位，不得参与本采购包的投标；</w:t>
      </w:r>
    </w:p>
    <w:p>
      <w:pPr>
        <w:pStyle w:val="null3"/>
      </w:pPr>
      <w:r>
        <w:rPr>
          <w:rFonts w:ascii="仿宋_GB2312" w:hAnsi="仿宋_GB2312" w:cs="仿宋_GB2312" w:eastAsia="仿宋_GB2312"/>
        </w:rPr>
        <w:t>5、法定代表人身份证名或授权代表授权委托书：提供法定代表人授权书（附法定代表人、被授权人身份证复印件）；法定代表人直接参加，须提供法定代表人身份证明文件；</w:t>
      </w:r>
    </w:p>
    <w:p>
      <w:pPr>
        <w:pStyle w:val="null3"/>
      </w:pPr>
      <w:r>
        <w:rPr>
          <w:rFonts w:ascii="仿宋_GB2312" w:hAnsi="仿宋_GB2312" w:cs="仿宋_GB2312" w:eastAsia="仿宋_GB2312"/>
        </w:rPr>
        <w:t>6、本项目不接受联合体磋商：本项目不接受联合体（提供非联合体声明）。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西安市曲江新区雁展路1111号莱安中心T3-16层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029-87966866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采购包1保证金金额：5,100.00元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开户名称：信宇腾远工程咨询集团有限公司</w:t>
            </w:r>
          </w:p>
          <w:p>
            <w:pPr>
              <w:pStyle w:val="null3"/>
            </w:pPr>
            <w:r>
              <w:rPr>
                <w:rFonts w:ascii="仿宋_GB2312" w:hAnsi="仿宋_GB2312" w:cs="仿宋_GB2312" w:eastAsia="仿宋_GB2312"/>
              </w:rPr>
              <w:t>开户银行：中国工商银行西安曲江支行</w:t>
            </w:r>
          </w:p>
          <w:p>
            <w:pPr>
              <w:pStyle w:val="null3"/>
            </w:pPr>
            <w:r>
              <w:rPr>
                <w:rFonts w:ascii="仿宋_GB2312" w:hAnsi="仿宋_GB2312" w:cs="仿宋_GB2312" w:eastAsia="仿宋_GB2312"/>
              </w:rPr>
              <w:t>银行账号：3700051319100168023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90%收取。 代理服务费缴纳信息如下： 银行户名：信宇腾远工程咨询集团有限公司 开户行名称：中国工商银行西安曲江支行 账 号：3700051319100168023 行号：102791000689 联 系 人：王工 联系电话：029-87966866 注：转账时须备注项目编号或者项目名称简称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联系人：王工、李工</w:t>
      </w:r>
    </w:p>
    <w:p>
      <w:pPr>
        <w:pStyle w:val="null3"/>
      </w:pPr>
      <w:r>
        <w:rPr>
          <w:rFonts w:ascii="仿宋_GB2312" w:hAnsi="仿宋_GB2312" w:cs="仿宋_GB2312" w:eastAsia="仿宋_GB2312"/>
        </w:rPr>
        <w:t>联系电话：029-87966866</w:t>
      </w:r>
    </w:p>
    <w:p>
      <w:pPr>
        <w:pStyle w:val="null3"/>
      </w:pPr>
      <w:r>
        <w:rPr>
          <w:rFonts w:ascii="仿宋_GB2312" w:hAnsi="仿宋_GB2312" w:cs="仿宋_GB2312" w:eastAsia="仿宋_GB2312"/>
        </w:rPr>
        <w:t>地址：西安市曲江新区雁展路1111号莱安中心T3-16层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普通国省干线公路工可研技术审查（采购包</w:t>
      </w:r>
      <w:r>
        <w:rPr>
          <w:rFonts w:ascii="仿宋_GB2312" w:hAnsi="仿宋_GB2312" w:cs="仿宋_GB2312" w:eastAsia="仿宋_GB2312"/>
        </w:rPr>
        <w:t>2）（二次）</w:t>
      </w:r>
      <w:r>
        <w:rPr>
          <w:rFonts w:ascii="仿宋_GB2312" w:hAnsi="仿宋_GB2312" w:cs="仿宋_GB2312" w:eastAsia="仿宋_GB2312"/>
        </w:rPr>
        <w:t>概况如下</w:t>
      </w:r>
      <w:r>
        <w:rPr>
          <w:rFonts w:ascii="仿宋_GB2312" w:hAnsi="仿宋_GB2312" w:cs="仿宋_GB2312" w:eastAsia="仿宋_GB2312"/>
        </w:rPr>
        <w:t>；（</w:t>
      </w:r>
      <w:r>
        <w:rPr>
          <w:rFonts w:ascii="仿宋_GB2312" w:hAnsi="仿宋_GB2312" w:cs="仿宋_GB2312" w:eastAsia="仿宋_GB2312"/>
        </w:rPr>
        <w:t>G244凤翔经陈仓至太白公路）、（G310潼关(陕豫界)至华阴潼关界公路）、（S302神木马家滩至大河塔公路）、（G337神木大保当镇过境公路）、（G210建华寺至延安公路改扩建工程）、（G341延川县文安驿镇薛家沟村改线工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普通国省干线公路工可研技术审查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标的名称：普通国省干线公路工可研技术审查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采购需求</w:t>
            </w:r>
          </w:p>
          <w:p>
            <w:pPr>
              <w:pStyle w:val="null3"/>
              <w:ind w:firstLine="480"/>
            </w:pPr>
            <w:r>
              <w:rPr>
                <w:rFonts w:ascii="仿宋_GB2312" w:hAnsi="仿宋_GB2312" w:cs="仿宋_GB2312" w:eastAsia="仿宋_GB2312"/>
              </w:rPr>
              <w:t>一、采购需求</w:t>
            </w:r>
          </w:p>
          <w:p>
            <w:pPr>
              <w:pStyle w:val="null3"/>
            </w:pPr>
            <w:r>
              <w:rPr>
                <w:rFonts w:ascii="仿宋_GB2312" w:hAnsi="仿宋_GB2312" w:cs="仿宋_GB2312" w:eastAsia="仿宋_GB2312"/>
              </w:rPr>
              <w:t>普通国省干线公路工可研技术审查（采购包</w:t>
            </w:r>
            <w:r>
              <w:rPr>
                <w:rFonts w:ascii="仿宋_GB2312" w:hAnsi="仿宋_GB2312" w:cs="仿宋_GB2312" w:eastAsia="仿宋_GB2312"/>
              </w:rPr>
              <w:t>2）（二次）</w:t>
            </w:r>
            <w:r>
              <w:rPr>
                <w:rFonts w:ascii="仿宋_GB2312" w:hAnsi="仿宋_GB2312" w:cs="仿宋_GB2312" w:eastAsia="仿宋_GB2312"/>
              </w:rPr>
              <w:t>概况如下</w:t>
            </w:r>
            <w:r>
              <w:rPr>
                <w:rFonts w:ascii="仿宋_GB2312" w:hAnsi="仿宋_GB2312" w:cs="仿宋_GB2312" w:eastAsia="仿宋_GB2312"/>
              </w:rPr>
              <w:t>；</w:t>
            </w:r>
          </w:p>
          <w:tbl>
            <w:tblPr>
              <w:tblBorders>
                <w:top w:val="none" w:color="000000" w:sz="4"/>
                <w:left w:val="none" w:color="000000" w:sz="4"/>
                <w:bottom w:val="none" w:color="000000" w:sz="4"/>
                <w:right w:val="none" w:color="000000" w:sz="4"/>
                <w:insideH w:val="none"/>
                <w:insideV w:val="none"/>
              </w:tblBorders>
            </w:tblPr>
            <w:tblGrid>
              <w:gridCol w:w="287"/>
              <w:gridCol w:w="491"/>
              <w:gridCol w:w="1537"/>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项目概况</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G244凤翔经陈仓至太白公路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82.88公里，采用一级公路技术标准建设，全线拟为新建道路，项目所在地市：宝鸡市，所在区县：凤翔、陈仓、高新、太白。项目总投资约1213538万元。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G310潼关(陕豫界)至华阴潼关界公路）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26公里，采用一级公路技术标准建设，全线拟为新建道路，项目所在地市：渭南市，所在区县：潼关县、华阴市。项目总投资约395000万元。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S302神木马家滩至大河塔公路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40"/>
                    <w:jc w:val="left"/>
                  </w:pPr>
                  <w:r>
                    <w:rPr>
                      <w:rFonts w:ascii="仿宋_GB2312" w:hAnsi="仿宋_GB2312" w:cs="仿宋_GB2312" w:eastAsia="仿宋_GB2312"/>
                      <w:sz w:val="24"/>
                    </w:rPr>
                    <w:t>项目路线全长约</w:t>
                  </w:r>
                  <w:r>
                    <w:rPr>
                      <w:rFonts w:ascii="仿宋_GB2312" w:hAnsi="仿宋_GB2312" w:cs="仿宋_GB2312" w:eastAsia="仿宋_GB2312"/>
                      <w:sz w:val="24"/>
                    </w:rPr>
                    <w:t>12.5公里，采用二级公路技术标准建设，全线拟为改建道路，项目所在地市：榆林市，所在区县：神木市。项目总投资约18000万元。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G337神木大保当镇过境公路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20.8公里，采用一级公路技术标准建设，全线拟为新建道路，项目所在地市：榆林市，所在区县神木市。项目总投资约120728万元。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G210建华寺至延安公路改扩建工程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30.5公里，采用二级公路技术标准建设，全线拟为改建道路，项目所在地市：延安市，所在区县：宝塔区。项目总投资约52007万元。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G341延川县文安驿镇薛家沟村改线工程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0.9公里，采用二级公路技术标准建设，全线拟为改建道路，项目所在地市：延安市，所在区县：延川县。项目总投资约3096万元。</w:t>
                  </w:r>
                </w:p>
              </w:tc>
            </w:tr>
          </w:tbl>
          <w:p>
            <w:pPr>
              <w:pStyle w:val="null3"/>
              <w:ind w:firstLine="480"/>
            </w:pPr>
            <w:r>
              <w:rPr>
                <w:rFonts w:ascii="仿宋_GB2312" w:hAnsi="仿宋_GB2312" w:cs="仿宋_GB2312" w:eastAsia="仿宋_GB2312"/>
                <w:sz w:val="24"/>
              </w:rPr>
              <w:t>二、服务要求</w:t>
            </w:r>
          </w:p>
          <w:p>
            <w:pPr>
              <w:pStyle w:val="null3"/>
              <w:ind w:firstLine="480"/>
            </w:pPr>
            <w:r>
              <w:rPr>
                <w:rFonts w:ascii="仿宋_GB2312" w:hAnsi="仿宋_GB2312" w:cs="仿宋_GB2312" w:eastAsia="仿宋_GB2312"/>
                <w:sz w:val="24"/>
              </w:rPr>
              <w:t>1、总体要求</w:t>
            </w:r>
          </w:p>
          <w:p>
            <w:pPr>
              <w:pStyle w:val="null3"/>
              <w:ind w:firstLine="480"/>
            </w:pPr>
            <w:r>
              <w:rPr>
                <w:rFonts w:ascii="仿宋_GB2312" w:hAnsi="仿宋_GB2312" w:cs="仿宋_GB2312" w:eastAsia="仿宋_GB2312"/>
                <w:sz w:val="24"/>
              </w:rPr>
              <w:t>承担技术咨询任务的单位，应根据采购人关于本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pPr>
            <w:r>
              <w:rPr>
                <w:rFonts w:ascii="仿宋_GB2312" w:hAnsi="仿宋_GB2312" w:cs="仿宋_GB2312" w:eastAsia="仿宋_GB2312"/>
                <w:sz w:val="24"/>
              </w:rPr>
              <w:t>2、质量要求</w:t>
            </w:r>
          </w:p>
          <w:p>
            <w:pPr>
              <w:pStyle w:val="null3"/>
              <w:ind w:firstLine="480"/>
            </w:pPr>
            <w:r>
              <w:rPr>
                <w:rFonts w:ascii="仿宋_GB2312" w:hAnsi="仿宋_GB2312" w:cs="仿宋_GB2312" w:eastAsia="仿宋_GB2312"/>
                <w:sz w:val="24"/>
              </w:rPr>
              <w:t>承担技术咨询任务的单位，需按照现行有关规范标准和政策要求，负责对合同段内项目工可研报告开展技术咨询审查服务相关工作，出具项目工可研技术咨询审查意见，以及需满足的质量、服务、安全、时限等要求。各合同段内项目的咨询审查内容包括但不限于项目建设的必要性和建设时机、标准规模的适应性，技术方案可行性和经济合理性、实施的可能性，基础资料的真实性及可靠性，以及可行性研究报告的编制工作深度等。</w:t>
            </w:r>
          </w:p>
          <w:p>
            <w:pPr>
              <w:pStyle w:val="null3"/>
              <w:ind w:firstLine="480"/>
            </w:pPr>
            <w:r>
              <w:rPr>
                <w:rFonts w:ascii="仿宋_GB2312" w:hAnsi="仿宋_GB2312" w:cs="仿宋_GB2312" w:eastAsia="仿宋_GB2312"/>
                <w:sz w:val="24"/>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p>
          <w:p>
            <w:pPr>
              <w:pStyle w:val="null3"/>
              <w:jc w:val="both"/>
            </w:pPr>
            <w:r>
              <w:rPr>
                <w:rFonts w:ascii="仿宋_GB2312" w:hAnsi="仿宋_GB2312" w:cs="仿宋_GB2312" w:eastAsia="仿宋_GB2312"/>
                <w:sz w:val="24"/>
              </w:rPr>
              <w:t>3、上述项目中，若存在受宏观政策变化等影响，且地方明确提出不再实施的项目，经双方友好协商，可对不再实施的项目予以更换调整为其他同等规模的类似项目，并签订相关补充协议。</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自合同生效之日起，至项目工可研技术审查报告取得审批部门批复止（具体以合同签订为准）。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乙方完成项目工可研技术审查咨询工作，并经甲方组织内部验收通过后，向甲方提交叁份项目可研技术审查咨询意见（含电子版），报告须加盖单位公章。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自本合同生效之日起，甲方收到乙方开具的全额合格增值税普通发票后，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合同签订生效后，因乙方原因终止合同，乙方除应向甲方退还已支付的所有款项外，还应向甲方支付合同总价款10%违约金，同时承担因此给甲方造成的所有损失。因甲方原因造成合同终止、解除的，甲方应按乙方实际工作量支付对应服务费用，并向乙方支付合同总价款10%的违约金。 未经甲方书面同意，乙方擅自将合同部分或全部工作内容委托第三方，甲方有权单方解除合同，同时乙方应一次性向甲方支付合同总价款30%违约金，同时承担因此给甲方造成的全部损失（该损失包含但不限于律师费、诉讼费、差旅费、财产保全费等相关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 （2）本项目共分为2个合同包，各供应商可同时参与2个合同包，但同一供应商最多只能中1个合同包。 （3）本项目按包号顺序进行评审，在评审过程中若供应商人已被推荐为第一成交候选人，则在其他包该供应商不再获得成交候选人推荐资格。 （4）如磋商文件中融资相关内容与新政策要求有出入，按照最新要求执行。 （5）供应商缴纳磋商保证金时应备注项目名称+标包名称。 （6）普通国省干线公路工可研技术审查(二次)为普通国省干线公路工可研技术审查采购包2的二次竞争磋商程序。由于系统固定格式无法改动，普通国省干线公路工可研技术审查(二次)部分内容表述为采购包1，其采购文件内所有内容均为普通国省干线公路工可研技术审查采购包2的内容，请各供应商知晓。</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 2.供应商应提供健全的财务会计制度的证明材料: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 3.税收缴纳证明：提供响应文件递交截止日前一年内已缴纳的至少一个月的纳税证明或完税证明，依法免税的单位应提供相关证明材料； 4.社会保障资金缴纳证明：提供响应文件递交截止日前一年内已缴存的至少一个月的社会保障资金缴存单据或社保机构开具的社会保险参保缴费情况证明，依法不需要缴纳社会保障资金的单位应提供相关证明材料； 5.提供具有履行本合同所必需的专业技术能力的声明:供应商具备履行合同所必需的设备和专业技术能力（提供承诺书原件） 6.参加本次政府采购活动前3年内在经营活动中没有重大违纪，以及未被列入失信被执行人、重大税收违法失信主体、政府采购严重违法失信行为记录名单的书面声明: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应商需提供单位负责人为同一人或者存在直接控股、管理关系的不同供应商不得参加同一合同项下的政府采购活动； 为本项目提供整体设计、规范编制或者项目管理、监理、检测等服务的供应商，不得再参加该采购项目的其他采购活动的书面声明。</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全国公路建设市场信用信息管理系统查询</w:t>
            </w:r>
          </w:p>
        </w:tc>
        <w:tc>
          <w:tcPr>
            <w:tcW w:type="dxa" w:w="3322"/>
          </w:tcPr>
          <w:p>
            <w:pPr>
              <w:pStyle w:val="null3"/>
            </w:pPr>
            <w:r>
              <w:rPr>
                <w:rFonts w:ascii="仿宋_GB2312" w:hAnsi="仿宋_GB2312" w:cs="仿宋_GB2312" w:eastAsia="仿宋_GB2312"/>
              </w:rPr>
              <w:t>供应商未被全国公路建设市场监督管理查询系统（https://hwdms.mot.gov.cn/BMWebSite/）列入不良行为记录；</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供应商应为全国投资项目在线审批监管平台；（http://www.tzxm.gov.cn/）备案的工程咨询单位，且工程咨询专业必须包含公路，服务范围必须包含评估咨询，且供应商名称与该名录中的相应企业名称完全一致；</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未被列入为“信用中国”网站（www.creditchina.gov.cn）重大税收违法案件当事人名单的供应商，未被列入“中国执行信息公开网”（http://zxgk.court.gov.cn/shixin/）失信被执行人的供应商和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若是本采购包内任何一个项目的可研报告编制单位，不得参与本采购包的投标；</w:t>
            </w:r>
          </w:p>
        </w:tc>
        <w:tc>
          <w:tcPr>
            <w:tcW w:type="dxa" w:w="3322"/>
          </w:tcPr>
          <w:p>
            <w:pPr>
              <w:pStyle w:val="null3"/>
            </w:pPr>
            <w:r>
              <w:rPr>
                <w:rFonts w:ascii="仿宋_GB2312" w:hAnsi="仿宋_GB2312" w:cs="仿宋_GB2312" w:eastAsia="仿宋_GB2312"/>
              </w:rPr>
              <w:t>若是本采购包内任何一个项目的可研报告编制单位，不得参与本采购包的投标；</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法定代表人身份证名或授权代表授权委托书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提供法定代表人授权书（附法定代表人、被授权人身份证复印件）；法定代表人直接参加，须提供法定代表人身份证明文件；</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本项目不接受联合体（提供非联合体声明）。</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服务内容及服务邀请应答表 中小企业声明函 商务应答表 一般资格要求.docx 报价表 响应文件封面 特殊资格要求.docx 残疾人福利性单位声明函 服务方案 标的清单 响应函 磋商保证金缴纳凭证.docx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完整无缺项，无选择性报价，且未超过最高限价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服务内容及服务邀请应答表 中小企业声明函 拟派项目组人员一览表（格式）.docx 一般资格要求.docx 商务应答表 报价表 响应文件封面 特殊资格要求.docx 残疾人福利性单位声明函 服务方案 标的清单 企业业绩统计表（格式）.docx 响应函 磋商保证金缴纳凭证.docx 拟派项目负责人简历表（格式）.docx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对普通国省道可研技术审查咨询服务工作的理解</w:t>
            </w:r>
          </w:p>
        </w:tc>
        <w:tc>
          <w:tcPr>
            <w:tcW w:type="dxa" w:w="2492"/>
          </w:tcPr>
          <w:p>
            <w:pPr>
              <w:pStyle w:val="null3"/>
            </w:pPr>
            <w:r>
              <w:rPr>
                <w:rFonts w:ascii="仿宋_GB2312" w:hAnsi="仿宋_GB2312" w:cs="仿宋_GB2312" w:eastAsia="仿宋_GB2312"/>
              </w:rPr>
              <w:t>一、评审内容 供应商针对普通国省道可研技术审查咨询服务工作的理解，内容包含：①项目背景介绍及部署；②审查咨询服务工作范围和内容；③目的和目标；④工作要求等方面。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②审查咨询服务工作范围和内容：每完全满足一个评审标准得1分，基本满足得0.5分，不满足或未提供得0分，满分3分；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拟投入本项目的技术咨询组织机构及人员配置方案</w:t>
            </w:r>
          </w:p>
        </w:tc>
        <w:tc>
          <w:tcPr>
            <w:tcW w:type="dxa" w:w="2492"/>
          </w:tcPr>
          <w:p>
            <w:pPr>
              <w:pStyle w:val="null3"/>
            </w:pPr>
            <w:r>
              <w:rPr>
                <w:rFonts w:ascii="仿宋_GB2312" w:hAnsi="仿宋_GB2312" w:cs="仿宋_GB2312" w:eastAsia="仿宋_GB2312"/>
              </w:rPr>
              <w:t>一、评审内容 供应商针对本项目采购需求，提供拟投入本项目的技术咨询组织机构及人员配置方案，内容包含：①组织机构及岗位职责；②人员储备及从业经验；③组织安排计划；④团队管理制度等方面。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拟派项目组人员一览表（格式）.docx</w:t>
            </w:r>
          </w:p>
        </w:tc>
      </w:tr>
      <w:tr>
        <w:tc>
          <w:tcPr>
            <w:tcW w:type="dxa" w:w="831"/>
            <w:vMerge/>
          </w:tcPr>
          <w:p/>
        </w:tc>
        <w:tc>
          <w:tcPr>
            <w:tcW w:type="dxa" w:w="1661"/>
          </w:tcPr>
          <w:p>
            <w:pPr>
              <w:pStyle w:val="null3"/>
            </w:pPr>
            <w:r>
              <w:rPr>
                <w:rFonts w:ascii="仿宋_GB2312" w:hAnsi="仿宋_GB2312" w:cs="仿宋_GB2312" w:eastAsia="仿宋_GB2312"/>
              </w:rPr>
              <w:t>对本项目的总体思路、工作安排和各专业工程技术咨询特点的理解</w:t>
            </w:r>
          </w:p>
        </w:tc>
        <w:tc>
          <w:tcPr>
            <w:tcW w:type="dxa" w:w="2492"/>
          </w:tcPr>
          <w:p>
            <w:pPr>
              <w:pStyle w:val="null3"/>
            </w:pPr>
            <w:r>
              <w:rPr>
                <w:rFonts w:ascii="仿宋_GB2312" w:hAnsi="仿宋_GB2312" w:cs="仿宋_GB2312" w:eastAsia="仿宋_GB2312"/>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对本项目的重难点分析、关键技术问题及对策措施</w:t>
            </w:r>
          </w:p>
        </w:tc>
        <w:tc>
          <w:tcPr>
            <w:tcW w:type="dxa" w:w="2492"/>
          </w:tcPr>
          <w:p>
            <w:pPr>
              <w:pStyle w:val="null3"/>
            </w:pPr>
            <w:r>
              <w:rPr>
                <w:rFonts w:ascii="仿宋_GB2312" w:hAnsi="仿宋_GB2312" w:cs="仿宋_GB2312" w:eastAsia="仿宋_GB2312"/>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对本项目的进度及质量保证措施</w:t>
            </w:r>
          </w:p>
        </w:tc>
        <w:tc>
          <w:tcPr>
            <w:tcW w:type="dxa" w:w="2492"/>
          </w:tcPr>
          <w:p>
            <w:pPr>
              <w:pStyle w:val="null3"/>
            </w:pPr>
            <w:r>
              <w:rPr>
                <w:rFonts w:ascii="仿宋_GB2312" w:hAnsi="仿宋_GB2312" w:cs="仿宋_GB2312" w:eastAsia="仿宋_GB2312"/>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2020年01月01日至今，具有1个同类业绩，得4分，不满足该项要求不得分。每增加1个同类业绩加1分，最多加6分。 注：提供中标（成交) 通知书或合同复印件加盖公章，合同内容完整，未提供不得分。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企业业绩统计表（格式）.docx</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具有公路相关专业高级工程师及以上职称，得5分。 注：提供项目负责人2024年度连续3个月的社保缴纳证明资料，并提供证书复印件加盖公章，未提供不得分。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拟派项目负责人简历表（格式）.docx</w:t>
            </w:r>
          </w:p>
        </w:tc>
      </w:tr>
      <w:tr>
        <w:tc>
          <w:tcPr>
            <w:tcW w:type="dxa" w:w="831"/>
            <w:vMerge/>
          </w:tcPr>
          <w:p/>
        </w:tc>
        <w:tc>
          <w:tcPr>
            <w:tcW w:type="dxa" w:w="1661"/>
          </w:tcPr>
          <w:p>
            <w:pPr>
              <w:pStyle w:val="null3"/>
            </w:pPr>
            <w:r>
              <w:rPr>
                <w:rFonts w:ascii="仿宋_GB2312" w:hAnsi="仿宋_GB2312" w:cs="仿宋_GB2312" w:eastAsia="仿宋_GB2312"/>
              </w:rPr>
              <w:t>项目负责人 业绩</w:t>
            </w:r>
          </w:p>
        </w:tc>
        <w:tc>
          <w:tcPr>
            <w:tcW w:type="dxa" w:w="2492"/>
          </w:tcPr>
          <w:p>
            <w:pPr>
              <w:pStyle w:val="null3"/>
            </w:pPr>
            <w:r>
              <w:rPr>
                <w:rFonts w:ascii="仿宋_GB2312" w:hAnsi="仿宋_GB2312" w:cs="仿宋_GB2312" w:eastAsia="仿宋_GB2312"/>
              </w:rPr>
              <w:t>2020年01月01日至今，担任过1个同类业绩的项目负责人（或专项负责人），得4分，不满足该项要求不得分。每增加1个同类项目负责人（或专项负责人）的业绩，加2分，最多加6分。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详见附件：拟派项目负责人简历表（格式）.docx</w:t>
      </w:r>
    </w:p>
    <w:p>
      <w:pPr>
        <w:pStyle w:val="null3"/>
        <w:ind w:firstLine="960"/>
      </w:pPr>
      <w:r>
        <w:rPr>
          <w:rFonts w:ascii="仿宋_GB2312" w:hAnsi="仿宋_GB2312" w:cs="仿宋_GB2312" w:eastAsia="仿宋_GB2312"/>
        </w:rPr>
        <w:t>详见附件：拟派项目组人员一览表（格式）.docx</w:t>
      </w:r>
    </w:p>
    <w:p>
      <w:pPr>
        <w:pStyle w:val="null3"/>
        <w:ind w:firstLine="960"/>
      </w:pPr>
      <w:r>
        <w:rPr>
          <w:rFonts w:ascii="仿宋_GB2312" w:hAnsi="仿宋_GB2312" w:cs="仿宋_GB2312" w:eastAsia="仿宋_GB2312"/>
        </w:rPr>
        <w:t>详见附件：企业业绩统计表（格式）.docx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