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1AB48">
      <w:pPr>
        <w:snapToGrid w:val="0"/>
        <w:spacing w:line="360" w:lineRule="auto"/>
        <w:ind w:firstLine="420" w:firstLineChars="200"/>
        <w:rPr>
          <w:rFonts w:hint="eastAsia"/>
          <w:szCs w:val="21"/>
          <w:lang w:eastAsia="zh-CN"/>
        </w:rPr>
      </w:pPr>
      <w:bookmarkStart w:id="0" w:name="_Hlk173938642"/>
      <w:r>
        <w:rPr>
          <w:rFonts w:hint="eastAsia"/>
          <w:szCs w:val="21"/>
          <w:lang w:eastAsia="zh-CN"/>
        </w:rPr>
        <w:t>根据《中华人民共和国民法典》等法律、法规规定，按照招标文件规定条款和中标人承诺，甲乙双方签订本合同。</w:t>
      </w:r>
    </w:p>
    <w:p w14:paraId="6274CC0F">
      <w:pPr>
        <w:spacing w:line="360" w:lineRule="auto"/>
        <w:ind w:firstLine="422" w:firstLineChars="200"/>
        <w:rPr>
          <w:rFonts w:hint="eastAsia"/>
          <w:b/>
          <w:bCs/>
          <w:szCs w:val="21"/>
          <w:lang w:eastAsia="zh-CN"/>
        </w:rPr>
      </w:pPr>
      <w:r>
        <w:rPr>
          <w:rFonts w:hint="eastAsia"/>
          <w:b/>
          <w:bCs/>
          <w:szCs w:val="21"/>
          <w:lang w:eastAsia="zh-CN"/>
        </w:rPr>
        <w:t>第一条 合同标的</w:t>
      </w:r>
    </w:p>
    <w:p w14:paraId="35C552A9">
      <w:pPr>
        <w:spacing w:line="360" w:lineRule="auto"/>
        <w:ind w:firstLine="420" w:firstLineChars="200"/>
        <w:rPr>
          <w:rFonts w:hint="eastAsia"/>
          <w:szCs w:val="21"/>
          <w:lang w:eastAsia="zh-CN"/>
        </w:rPr>
      </w:pPr>
      <w:r>
        <w:rPr>
          <w:rFonts w:hint="eastAsia"/>
          <w:szCs w:val="21"/>
          <w:lang w:eastAsia="zh-CN"/>
        </w:rPr>
        <w:t>1</w:t>
      </w:r>
      <w:r>
        <w:rPr>
          <w:rFonts w:hint="eastAsia"/>
          <w:kern w:val="1"/>
          <w:szCs w:val="21"/>
          <w:lang w:eastAsia="zh-CN"/>
        </w:rPr>
        <w:t xml:space="preserve">. </w:t>
      </w:r>
      <w:r>
        <w:rPr>
          <w:rFonts w:hint="eastAsia"/>
          <w:szCs w:val="21"/>
          <w:lang w:eastAsia="zh-CN"/>
        </w:rPr>
        <w:t>采购内容一览表</w:t>
      </w:r>
    </w:p>
    <w:tbl>
      <w:tblPr>
        <w:tblStyle w:val="3"/>
        <w:tblW w:w="8693" w:type="dxa"/>
        <w:tblInd w:w="93" w:type="dxa"/>
        <w:tblLayout w:type="fixed"/>
        <w:tblCellMar>
          <w:top w:w="0" w:type="dxa"/>
          <w:left w:w="108" w:type="dxa"/>
          <w:bottom w:w="0" w:type="dxa"/>
          <w:right w:w="108" w:type="dxa"/>
        </w:tblCellMar>
      </w:tblPr>
      <w:tblGrid>
        <w:gridCol w:w="856"/>
        <w:gridCol w:w="887"/>
        <w:gridCol w:w="1075"/>
        <w:gridCol w:w="1000"/>
        <w:gridCol w:w="1313"/>
        <w:gridCol w:w="1225"/>
        <w:gridCol w:w="875"/>
        <w:gridCol w:w="1462"/>
      </w:tblGrid>
      <w:tr w14:paraId="147B46D9">
        <w:tblPrEx>
          <w:tblCellMar>
            <w:top w:w="0" w:type="dxa"/>
            <w:left w:w="108" w:type="dxa"/>
            <w:bottom w:w="0" w:type="dxa"/>
            <w:right w:w="108" w:type="dxa"/>
          </w:tblCellMar>
        </w:tblPrEx>
        <w:trPr>
          <w:trHeight w:val="855" w:hRule="atLeast"/>
        </w:trPr>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E23AAD">
            <w:pPr>
              <w:widowControl/>
              <w:jc w:val="center"/>
              <w:textAlignment w:val="center"/>
              <w:rPr>
                <w:rFonts w:hint="eastAsia"/>
                <w:szCs w:val="21"/>
              </w:rPr>
            </w:pPr>
            <w:r>
              <w:rPr>
                <w:rFonts w:hint="eastAsia"/>
                <w:szCs w:val="21"/>
                <w:lang w:bidi="ar"/>
              </w:rPr>
              <w:t>序号</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4EB9E">
            <w:pPr>
              <w:widowControl/>
              <w:jc w:val="center"/>
              <w:textAlignment w:val="center"/>
              <w:rPr>
                <w:rFonts w:hint="eastAsia"/>
                <w:szCs w:val="21"/>
              </w:rPr>
            </w:pPr>
            <w:r>
              <w:rPr>
                <w:rFonts w:hint="eastAsia"/>
                <w:szCs w:val="21"/>
                <w:lang w:eastAsia="zh-CN" w:bidi="ar"/>
              </w:rPr>
              <w:t>通用</w:t>
            </w:r>
            <w:r>
              <w:rPr>
                <w:rFonts w:hint="eastAsia"/>
                <w:szCs w:val="21"/>
                <w:lang w:bidi="ar"/>
              </w:rPr>
              <w:t>名称</w:t>
            </w:r>
          </w:p>
        </w:tc>
        <w:tc>
          <w:tcPr>
            <w:tcW w:w="10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AB1FD2">
            <w:pPr>
              <w:widowControl/>
              <w:jc w:val="center"/>
              <w:textAlignment w:val="center"/>
              <w:rPr>
                <w:rFonts w:hint="eastAsia"/>
                <w:szCs w:val="21"/>
                <w:lang w:eastAsia="zh-CN" w:bidi="ar"/>
              </w:rPr>
            </w:pPr>
            <w:r>
              <w:rPr>
                <w:rFonts w:hint="eastAsia"/>
                <w:szCs w:val="21"/>
                <w:lang w:eastAsia="zh-CN" w:bidi="ar"/>
              </w:rPr>
              <w:t>规格型号</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5D9E5E">
            <w:pPr>
              <w:widowControl/>
              <w:jc w:val="center"/>
              <w:textAlignment w:val="center"/>
              <w:rPr>
                <w:rFonts w:hint="eastAsia"/>
                <w:szCs w:val="21"/>
                <w:lang w:eastAsia="zh-CN" w:bidi="ar"/>
              </w:rPr>
            </w:pPr>
            <w:r>
              <w:rPr>
                <w:rFonts w:hint="eastAsia"/>
                <w:szCs w:val="21"/>
                <w:lang w:eastAsia="zh-CN" w:bidi="ar"/>
              </w:rPr>
              <w:t>材质</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D3824">
            <w:pPr>
              <w:widowControl/>
              <w:jc w:val="center"/>
              <w:textAlignment w:val="center"/>
              <w:rPr>
                <w:rFonts w:hint="eastAsia"/>
                <w:szCs w:val="21"/>
                <w:lang w:eastAsia="zh-CN" w:bidi="ar"/>
              </w:rPr>
            </w:pPr>
            <w:r>
              <w:rPr>
                <w:rFonts w:hint="eastAsia"/>
                <w:szCs w:val="21"/>
                <w:lang w:eastAsia="zh-CN" w:bidi="ar"/>
              </w:rPr>
              <w:t>用途</w:t>
            </w:r>
          </w:p>
        </w:tc>
        <w:tc>
          <w:tcPr>
            <w:tcW w:w="12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BA2CB9">
            <w:pPr>
              <w:widowControl/>
              <w:jc w:val="center"/>
              <w:textAlignment w:val="center"/>
              <w:rPr>
                <w:rFonts w:hint="eastAsia"/>
                <w:szCs w:val="21"/>
              </w:rPr>
            </w:pPr>
            <w:r>
              <w:rPr>
                <w:rFonts w:hint="eastAsia"/>
                <w:szCs w:val="21"/>
                <w:lang w:bidi="ar"/>
              </w:rPr>
              <w:t>生产厂家</w:t>
            </w: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E93632">
            <w:pPr>
              <w:widowControl/>
              <w:jc w:val="center"/>
              <w:textAlignment w:val="center"/>
              <w:rPr>
                <w:rFonts w:hint="eastAsia"/>
                <w:szCs w:val="21"/>
              </w:rPr>
            </w:pPr>
            <w:r>
              <w:rPr>
                <w:rFonts w:hint="eastAsia"/>
                <w:szCs w:val="21"/>
                <w:lang w:bidi="ar"/>
              </w:rPr>
              <w:t>单位</w:t>
            </w: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1B3F">
            <w:pPr>
              <w:widowControl/>
              <w:jc w:val="center"/>
              <w:textAlignment w:val="center"/>
              <w:rPr>
                <w:rFonts w:hint="eastAsia"/>
                <w:szCs w:val="21"/>
                <w:lang w:eastAsia="zh-CN"/>
              </w:rPr>
            </w:pPr>
            <w:r>
              <w:rPr>
                <w:rFonts w:hint="eastAsia"/>
                <w:szCs w:val="21"/>
                <w:lang w:eastAsia="zh-CN" w:bidi="ar"/>
              </w:rPr>
              <w:t>整体下浮后（最终）单价报价（元）</w:t>
            </w:r>
          </w:p>
        </w:tc>
      </w:tr>
      <w:tr w14:paraId="0FCE303F">
        <w:tblPrEx>
          <w:tblCellMar>
            <w:top w:w="0" w:type="dxa"/>
            <w:left w:w="108" w:type="dxa"/>
            <w:bottom w:w="0" w:type="dxa"/>
            <w:right w:w="108" w:type="dxa"/>
          </w:tblCellMar>
        </w:tblPrEx>
        <w:trPr>
          <w:trHeight w:val="285" w:hRule="atLeast"/>
        </w:trPr>
        <w:tc>
          <w:tcPr>
            <w:tcW w:w="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EE66C">
            <w:pPr>
              <w:widowControl/>
              <w:jc w:val="center"/>
              <w:textAlignment w:val="center"/>
              <w:rPr>
                <w:rFonts w:hint="eastAsia"/>
                <w:lang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76837F">
            <w:pPr>
              <w:widowControl/>
              <w:textAlignment w:val="center"/>
              <w:rPr>
                <w:rFonts w:hint="eastAsia"/>
                <w:lang w:eastAsia="zh-CN"/>
              </w:rPr>
            </w:pPr>
          </w:p>
        </w:tc>
        <w:tc>
          <w:tcPr>
            <w:tcW w:w="10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8D33EA">
            <w:pPr>
              <w:widowControl/>
              <w:jc w:val="center"/>
              <w:textAlignment w:val="center"/>
              <w:rPr>
                <w:rFonts w:hint="eastAsia"/>
                <w:lang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890178">
            <w:pPr>
              <w:widowControl/>
              <w:jc w:val="center"/>
              <w:textAlignment w:val="center"/>
              <w:rPr>
                <w:rFonts w:hint="eastAsia"/>
                <w:lang w:eastAsia="zh-CN" w:bidi="ar"/>
              </w:rPr>
            </w:pPr>
          </w:p>
        </w:tc>
        <w:tc>
          <w:tcPr>
            <w:tcW w:w="13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2176DC">
            <w:pPr>
              <w:widowControl/>
              <w:jc w:val="center"/>
              <w:textAlignment w:val="center"/>
              <w:rPr>
                <w:rFonts w:hint="eastAsia"/>
                <w:lang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A47DC9">
            <w:pPr>
              <w:widowControl/>
              <w:jc w:val="center"/>
              <w:textAlignment w:val="center"/>
              <w:rPr>
                <w:rFonts w:hint="eastAsia"/>
                <w:lang w:eastAsia="zh-CN"/>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292F9F">
            <w:pPr>
              <w:jc w:val="center"/>
              <w:rPr>
                <w:rFonts w:hint="eastAsia"/>
                <w:lang w:eastAsia="zh-CN"/>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631DC">
            <w:pPr>
              <w:rPr>
                <w:rFonts w:hint="eastAsia"/>
                <w:sz w:val="24"/>
                <w:lang w:eastAsia="zh-CN"/>
              </w:rPr>
            </w:pPr>
          </w:p>
        </w:tc>
      </w:tr>
      <w:tr w14:paraId="482F1FC2">
        <w:tblPrEx>
          <w:tblCellMar>
            <w:top w:w="0" w:type="dxa"/>
            <w:left w:w="108" w:type="dxa"/>
            <w:bottom w:w="0" w:type="dxa"/>
            <w:right w:w="108" w:type="dxa"/>
          </w:tblCellMar>
        </w:tblPrEx>
        <w:trPr>
          <w:trHeight w:val="285" w:hRule="atLeast"/>
        </w:trPr>
        <w:tc>
          <w:tcPr>
            <w:tcW w:w="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20F4A">
            <w:pPr>
              <w:widowControl/>
              <w:jc w:val="center"/>
              <w:textAlignment w:val="center"/>
              <w:rPr>
                <w:rFonts w:hint="eastAsia"/>
                <w:lang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FFB4C">
            <w:pPr>
              <w:widowControl/>
              <w:textAlignment w:val="center"/>
              <w:rPr>
                <w:rFonts w:hint="eastAsia"/>
                <w:lang w:eastAsia="zh-CN"/>
              </w:rPr>
            </w:pPr>
          </w:p>
        </w:tc>
        <w:tc>
          <w:tcPr>
            <w:tcW w:w="10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9697B">
            <w:pPr>
              <w:widowControl/>
              <w:jc w:val="center"/>
              <w:textAlignment w:val="center"/>
              <w:rPr>
                <w:rFonts w:hint="eastAsia"/>
                <w:lang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0789B7">
            <w:pPr>
              <w:widowControl/>
              <w:jc w:val="center"/>
              <w:textAlignment w:val="center"/>
              <w:rPr>
                <w:rFonts w:hint="eastAsia"/>
                <w:lang w:eastAsia="zh-CN" w:bidi="ar"/>
              </w:rPr>
            </w:pPr>
          </w:p>
        </w:tc>
        <w:tc>
          <w:tcPr>
            <w:tcW w:w="13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8A27E5">
            <w:pPr>
              <w:widowControl/>
              <w:jc w:val="center"/>
              <w:textAlignment w:val="center"/>
              <w:rPr>
                <w:rFonts w:hint="eastAsia"/>
                <w:lang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9013ED">
            <w:pPr>
              <w:widowControl/>
              <w:jc w:val="center"/>
              <w:textAlignment w:val="center"/>
              <w:rPr>
                <w:rFonts w:hint="eastAsia"/>
                <w:lang w:eastAsia="zh-CN"/>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89748D">
            <w:pPr>
              <w:jc w:val="center"/>
              <w:rPr>
                <w:rFonts w:hint="eastAsia"/>
                <w:lang w:eastAsia="zh-CN"/>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C471C">
            <w:pPr>
              <w:rPr>
                <w:rFonts w:hint="eastAsia"/>
                <w:sz w:val="24"/>
                <w:lang w:eastAsia="zh-CN"/>
              </w:rPr>
            </w:pPr>
          </w:p>
        </w:tc>
      </w:tr>
      <w:tr w14:paraId="255F32F3">
        <w:tblPrEx>
          <w:tblCellMar>
            <w:top w:w="0" w:type="dxa"/>
            <w:left w:w="108" w:type="dxa"/>
            <w:bottom w:w="0" w:type="dxa"/>
            <w:right w:w="108" w:type="dxa"/>
          </w:tblCellMar>
        </w:tblPrEx>
        <w:trPr>
          <w:trHeight w:val="285" w:hRule="atLeast"/>
        </w:trPr>
        <w:tc>
          <w:tcPr>
            <w:tcW w:w="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5FF64C">
            <w:pPr>
              <w:widowControl/>
              <w:jc w:val="center"/>
              <w:textAlignment w:val="center"/>
              <w:rPr>
                <w:rFonts w:hint="eastAsia"/>
                <w:lang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7644D4">
            <w:pPr>
              <w:widowControl/>
              <w:textAlignment w:val="center"/>
              <w:rPr>
                <w:rFonts w:hint="eastAsia"/>
                <w:lang w:eastAsia="zh-CN"/>
              </w:rPr>
            </w:pPr>
          </w:p>
        </w:tc>
        <w:tc>
          <w:tcPr>
            <w:tcW w:w="10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076AF5">
            <w:pPr>
              <w:widowControl/>
              <w:jc w:val="center"/>
              <w:textAlignment w:val="center"/>
              <w:rPr>
                <w:rFonts w:hint="eastAsia"/>
                <w:lang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A303C2">
            <w:pPr>
              <w:widowControl/>
              <w:jc w:val="center"/>
              <w:textAlignment w:val="center"/>
              <w:rPr>
                <w:rFonts w:hint="eastAsia"/>
                <w:lang w:eastAsia="zh-CN" w:bidi="ar"/>
              </w:rPr>
            </w:pPr>
          </w:p>
        </w:tc>
        <w:tc>
          <w:tcPr>
            <w:tcW w:w="13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07774C">
            <w:pPr>
              <w:widowControl/>
              <w:jc w:val="center"/>
              <w:textAlignment w:val="center"/>
              <w:rPr>
                <w:rFonts w:hint="eastAsia"/>
                <w:lang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0FEA80">
            <w:pPr>
              <w:widowControl/>
              <w:jc w:val="center"/>
              <w:textAlignment w:val="center"/>
              <w:rPr>
                <w:rFonts w:hint="eastAsia"/>
                <w:lang w:eastAsia="zh-CN"/>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97D2A">
            <w:pPr>
              <w:jc w:val="center"/>
              <w:rPr>
                <w:rFonts w:hint="eastAsia"/>
                <w:lang w:eastAsia="zh-CN"/>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3DE37">
            <w:pPr>
              <w:rPr>
                <w:rFonts w:hint="eastAsia"/>
                <w:sz w:val="24"/>
                <w:lang w:eastAsia="zh-CN"/>
              </w:rPr>
            </w:pPr>
          </w:p>
        </w:tc>
      </w:tr>
      <w:tr w14:paraId="47A49FD9">
        <w:tblPrEx>
          <w:tblCellMar>
            <w:top w:w="0" w:type="dxa"/>
            <w:left w:w="108" w:type="dxa"/>
            <w:bottom w:w="0" w:type="dxa"/>
            <w:right w:w="108" w:type="dxa"/>
          </w:tblCellMar>
        </w:tblPrEx>
        <w:trPr>
          <w:trHeight w:val="285" w:hRule="atLeast"/>
        </w:trPr>
        <w:tc>
          <w:tcPr>
            <w:tcW w:w="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CAB21">
            <w:pPr>
              <w:widowControl/>
              <w:jc w:val="center"/>
              <w:textAlignment w:val="center"/>
              <w:rPr>
                <w:rFonts w:hint="eastAsia"/>
                <w:lang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5D2E0">
            <w:pPr>
              <w:widowControl/>
              <w:textAlignment w:val="center"/>
              <w:rPr>
                <w:rFonts w:hint="eastAsia"/>
                <w:lang w:eastAsia="zh-CN"/>
              </w:rPr>
            </w:pPr>
          </w:p>
        </w:tc>
        <w:tc>
          <w:tcPr>
            <w:tcW w:w="10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6E64E5">
            <w:pPr>
              <w:widowControl/>
              <w:jc w:val="center"/>
              <w:textAlignment w:val="center"/>
              <w:rPr>
                <w:rFonts w:hint="eastAsia"/>
                <w:lang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84DD3">
            <w:pPr>
              <w:widowControl/>
              <w:jc w:val="center"/>
              <w:textAlignment w:val="center"/>
              <w:rPr>
                <w:rFonts w:hint="eastAsia"/>
                <w:lang w:eastAsia="zh-CN" w:bidi="ar"/>
              </w:rPr>
            </w:pPr>
          </w:p>
        </w:tc>
        <w:tc>
          <w:tcPr>
            <w:tcW w:w="13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11B45">
            <w:pPr>
              <w:widowControl/>
              <w:jc w:val="center"/>
              <w:textAlignment w:val="center"/>
              <w:rPr>
                <w:rFonts w:hint="eastAsia"/>
                <w:lang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F1C4A4">
            <w:pPr>
              <w:widowControl/>
              <w:jc w:val="center"/>
              <w:textAlignment w:val="center"/>
              <w:rPr>
                <w:rFonts w:hint="eastAsia"/>
                <w:lang w:eastAsia="zh-CN"/>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66AD22">
            <w:pPr>
              <w:jc w:val="center"/>
              <w:rPr>
                <w:rFonts w:hint="eastAsia"/>
                <w:lang w:eastAsia="zh-CN"/>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03121">
            <w:pPr>
              <w:rPr>
                <w:rFonts w:hint="eastAsia"/>
                <w:sz w:val="24"/>
                <w:lang w:eastAsia="zh-CN"/>
              </w:rPr>
            </w:pPr>
          </w:p>
        </w:tc>
      </w:tr>
      <w:tr w14:paraId="03C5F0DA">
        <w:tblPrEx>
          <w:tblCellMar>
            <w:top w:w="0" w:type="dxa"/>
            <w:left w:w="108" w:type="dxa"/>
            <w:bottom w:w="0" w:type="dxa"/>
            <w:right w:w="108" w:type="dxa"/>
          </w:tblCellMar>
        </w:tblPrEx>
        <w:trPr>
          <w:trHeight w:val="285" w:hRule="atLeast"/>
        </w:trPr>
        <w:tc>
          <w:tcPr>
            <w:tcW w:w="8693" w:type="dxa"/>
            <w:gridSpan w:val="8"/>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FDE516">
            <w:pPr>
              <w:rPr>
                <w:rFonts w:hint="eastAsia"/>
                <w:sz w:val="24"/>
                <w:lang w:eastAsia="zh-CN"/>
              </w:rPr>
            </w:pPr>
            <w:r>
              <w:rPr>
                <w:rFonts w:hint="eastAsia"/>
                <w:spacing w:val="20"/>
                <w:szCs w:val="21"/>
                <w:lang w:eastAsia="zh-CN"/>
              </w:rPr>
              <w:t>响应报价：</w:t>
            </w:r>
            <w:r>
              <w:rPr>
                <w:rFonts w:hint="eastAsia"/>
                <w:spacing w:val="20"/>
                <w:szCs w:val="21"/>
                <w:u w:val="single"/>
                <w:lang w:eastAsia="zh-CN"/>
              </w:rPr>
              <w:t xml:space="preserve">       </w:t>
            </w:r>
            <w:r>
              <w:rPr>
                <w:rFonts w:hint="eastAsia"/>
                <w:spacing w:val="20"/>
                <w:szCs w:val="21"/>
                <w:lang w:eastAsia="zh-CN"/>
              </w:rPr>
              <w:t>%（下浮费率的折扣报价，</w:t>
            </w:r>
            <w:r>
              <w:rPr>
                <w:spacing w:val="20"/>
                <w:szCs w:val="21"/>
                <w:lang w:eastAsia="zh-CN"/>
              </w:rPr>
              <w:t>保留小数点后2位</w:t>
            </w:r>
            <w:r>
              <w:rPr>
                <w:rFonts w:hint="eastAsia"/>
                <w:spacing w:val="20"/>
                <w:szCs w:val="21"/>
                <w:lang w:eastAsia="zh-CN"/>
              </w:rPr>
              <w:t>）</w:t>
            </w:r>
          </w:p>
        </w:tc>
      </w:tr>
      <w:tr w14:paraId="05D508A4">
        <w:tblPrEx>
          <w:tblCellMar>
            <w:top w:w="0" w:type="dxa"/>
            <w:left w:w="108" w:type="dxa"/>
            <w:bottom w:w="0" w:type="dxa"/>
            <w:right w:w="108" w:type="dxa"/>
          </w:tblCellMar>
        </w:tblPrEx>
        <w:trPr>
          <w:trHeight w:val="285" w:hRule="atLeast"/>
        </w:trPr>
        <w:tc>
          <w:tcPr>
            <w:tcW w:w="8693" w:type="dxa"/>
            <w:gridSpan w:val="8"/>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78D2D7">
            <w:pPr>
              <w:rPr>
                <w:rFonts w:hint="eastAsia"/>
                <w:spacing w:val="20"/>
                <w:szCs w:val="21"/>
              </w:rPr>
            </w:pPr>
            <w:r>
              <w:rPr>
                <w:rFonts w:hint="eastAsia"/>
                <w:spacing w:val="20"/>
                <w:szCs w:val="21"/>
              </w:rPr>
              <w:t>合同总金额：</w:t>
            </w:r>
          </w:p>
        </w:tc>
      </w:tr>
      <w:tr w14:paraId="55F347DF">
        <w:tblPrEx>
          <w:tblCellMar>
            <w:top w:w="0" w:type="dxa"/>
            <w:left w:w="108" w:type="dxa"/>
            <w:bottom w:w="0" w:type="dxa"/>
            <w:right w:w="108" w:type="dxa"/>
          </w:tblCellMar>
        </w:tblPrEx>
        <w:trPr>
          <w:trHeight w:val="285" w:hRule="atLeast"/>
        </w:trPr>
        <w:tc>
          <w:tcPr>
            <w:tcW w:w="8693" w:type="dxa"/>
            <w:gridSpan w:val="8"/>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65F9B8">
            <w:pPr>
              <w:rPr>
                <w:rFonts w:hint="eastAsia"/>
                <w:spacing w:val="20"/>
                <w:szCs w:val="21"/>
              </w:rPr>
            </w:pPr>
            <w:r>
              <w:rPr>
                <w:rFonts w:hint="eastAsia"/>
                <w:spacing w:val="20"/>
                <w:szCs w:val="21"/>
              </w:rPr>
              <w:t>合同期：</w:t>
            </w:r>
            <w:r>
              <w:rPr>
                <w:rFonts w:hint="eastAsia"/>
                <w:spacing w:val="20"/>
                <w:szCs w:val="21"/>
                <w:lang w:eastAsia="zh-CN"/>
              </w:rPr>
              <w:t>1</w:t>
            </w:r>
            <w:r>
              <w:rPr>
                <w:rFonts w:hint="eastAsia"/>
                <w:spacing w:val="20"/>
                <w:szCs w:val="21"/>
              </w:rPr>
              <w:t>年。</w:t>
            </w:r>
          </w:p>
        </w:tc>
      </w:tr>
    </w:tbl>
    <w:p w14:paraId="3CD5B9EE">
      <w:pPr>
        <w:spacing w:line="360" w:lineRule="auto"/>
        <w:ind w:firstLine="420" w:firstLineChars="200"/>
        <w:rPr>
          <w:rFonts w:hint="eastAsia"/>
          <w:bCs/>
          <w:szCs w:val="21"/>
          <w:lang w:eastAsia="zh-CN"/>
        </w:rPr>
      </w:pPr>
      <w:bookmarkStart w:id="1" w:name="_GoBack"/>
      <w:bookmarkEnd w:id="1"/>
      <w:r>
        <w:rPr>
          <w:rFonts w:hint="eastAsia"/>
          <w:bCs/>
          <w:szCs w:val="21"/>
          <w:lang w:eastAsia="zh-CN"/>
        </w:rPr>
        <w:t>1.</w:t>
      </w:r>
      <w:r>
        <w:rPr>
          <w:bCs/>
          <w:szCs w:val="21"/>
          <w:lang w:eastAsia="zh-CN"/>
        </w:rPr>
        <w:t>报价包括但不限于：药品、包装、检测、运输、保险、验收、售后服务、人员费用、配发服务、税金、验收所产生的一切费用以及所有的不定因素的风险等全部相关费用。</w:t>
      </w:r>
    </w:p>
    <w:p w14:paraId="6E4AADE9">
      <w:pPr>
        <w:snapToGrid w:val="0"/>
        <w:spacing w:line="360" w:lineRule="auto"/>
        <w:ind w:firstLine="420" w:firstLineChars="200"/>
        <w:rPr>
          <w:rFonts w:hint="eastAsia"/>
          <w:lang w:eastAsia="zh-CN"/>
        </w:rPr>
      </w:pPr>
      <w:r>
        <w:rPr>
          <w:rFonts w:hint="eastAsia"/>
          <w:lang w:eastAsia="zh-CN"/>
        </w:rPr>
        <w:t>2.</w:t>
      </w:r>
      <w:r>
        <w:rPr>
          <w:szCs w:val="21"/>
          <w:lang w:eastAsia="zh-CN"/>
        </w:rPr>
        <w:t xml:space="preserve"> 按实际送货量结算货款</w:t>
      </w:r>
      <w:r>
        <w:rPr>
          <w:rFonts w:hint="eastAsia"/>
          <w:szCs w:val="21"/>
          <w:lang w:eastAsia="zh-CN"/>
        </w:rPr>
        <w:t>，</w:t>
      </w:r>
      <w:r>
        <w:rPr>
          <w:szCs w:val="21"/>
          <w:lang w:eastAsia="zh-CN"/>
        </w:rPr>
        <w:t>即结算价=最高单价限价×</w:t>
      </w:r>
      <w:r>
        <w:rPr>
          <w:bCs/>
          <w:szCs w:val="21"/>
          <w:lang w:eastAsia="zh-CN"/>
        </w:rPr>
        <w:t>（1-</w:t>
      </w:r>
      <w:r>
        <w:rPr>
          <w:rFonts w:hint="eastAsia"/>
          <w:bCs/>
          <w:szCs w:val="21"/>
          <w:lang w:eastAsia="zh-CN"/>
        </w:rPr>
        <w:t>供应商</w:t>
      </w:r>
      <w:r>
        <w:rPr>
          <w:bCs/>
          <w:szCs w:val="21"/>
          <w:lang w:eastAsia="zh-CN"/>
        </w:rPr>
        <w:t>有效下浮费率）</w:t>
      </w:r>
      <w:r>
        <w:rPr>
          <w:szCs w:val="21"/>
          <w:lang w:eastAsia="zh-CN"/>
        </w:rPr>
        <w:t>×实际采购数量</w:t>
      </w:r>
      <w:r>
        <w:rPr>
          <w:rFonts w:hint="eastAsia"/>
          <w:szCs w:val="21"/>
          <w:lang w:eastAsia="zh-CN"/>
        </w:rPr>
        <w:t>。</w:t>
      </w:r>
    </w:p>
    <w:p w14:paraId="41FEA44D">
      <w:pPr>
        <w:snapToGrid w:val="0"/>
        <w:spacing w:line="360" w:lineRule="auto"/>
        <w:ind w:firstLine="420" w:firstLineChars="200"/>
        <w:rPr>
          <w:rFonts w:hint="eastAsia"/>
          <w:lang w:eastAsia="zh-CN"/>
        </w:rPr>
      </w:pPr>
      <w:r>
        <w:rPr>
          <w:rFonts w:hint="eastAsia"/>
          <w:lang w:eastAsia="zh-CN"/>
        </w:rPr>
        <w:t>3</w:t>
      </w:r>
      <w:r>
        <w:rPr>
          <w:lang w:eastAsia="zh-CN"/>
        </w:rPr>
        <w:t>.</w:t>
      </w:r>
      <w:r>
        <w:rPr>
          <w:rFonts w:hint="eastAsia"/>
          <w:szCs w:val="21"/>
          <w:lang w:eastAsia="zh-CN"/>
        </w:rPr>
        <w:t>合同合计金额包含</w:t>
      </w:r>
      <w:r>
        <w:rPr>
          <w:bCs/>
          <w:szCs w:val="21"/>
          <w:lang w:eastAsia="zh-CN"/>
        </w:rPr>
        <w:t>药品、包装、检测、运输、保险、验收、售后服务、人员费用、配发服务、税金、验收所产生的一切费用以及所有的不定因素的风险等全部相关费用。</w:t>
      </w:r>
      <w:r>
        <w:rPr>
          <w:rFonts w:hint="eastAsia"/>
          <w:szCs w:val="21"/>
          <w:lang w:eastAsia="zh-CN"/>
        </w:rPr>
        <w:t>除合同合计金额外，甲方无需再向乙方支付任何其他费用。如公告规定、采购文件及投标文件对其另有规定的，从其规定。</w:t>
      </w:r>
    </w:p>
    <w:p w14:paraId="60F20419">
      <w:pPr>
        <w:spacing w:line="360" w:lineRule="auto"/>
        <w:ind w:firstLine="422" w:firstLineChars="200"/>
        <w:rPr>
          <w:rFonts w:hint="eastAsia"/>
          <w:b/>
          <w:bCs/>
          <w:szCs w:val="21"/>
          <w:lang w:eastAsia="zh-CN"/>
        </w:rPr>
      </w:pPr>
      <w:r>
        <w:rPr>
          <w:rFonts w:hint="eastAsia"/>
          <w:b/>
          <w:bCs/>
          <w:szCs w:val="21"/>
          <w:lang w:eastAsia="zh-CN"/>
        </w:rPr>
        <w:t>第二条 质量保证</w:t>
      </w:r>
    </w:p>
    <w:p w14:paraId="3F942306">
      <w:pPr>
        <w:snapToGrid w:val="0"/>
        <w:spacing w:line="360" w:lineRule="auto"/>
        <w:ind w:firstLine="420" w:firstLineChars="200"/>
        <w:rPr>
          <w:rFonts w:hint="eastAsia"/>
          <w:szCs w:val="21"/>
          <w:lang w:eastAsia="zh-CN"/>
        </w:rPr>
      </w:pPr>
      <w:r>
        <w:rPr>
          <w:rFonts w:hint="eastAsia"/>
          <w:szCs w:val="21"/>
          <w:lang w:eastAsia="zh-CN"/>
        </w:rPr>
        <w:t>1.乙方所提供的药品规格、技术参数等应符合国家标准、行业标准、地方标准等标准、规范（上述标准、规范有出入的，以较严格的为准），并与公告规定、采购文件及投标/响应文件承诺的质量相一致，以确保使用过程的安全性及效用性，如采购文件中明确对药品提出更高的技术要求的，乙方还应当确保符合采购文件提出的技术要求。</w:t>
      </w:r>
    </w:p>
    <w:p w14:paraId="31108542">
      <w:pPr>
        <w:snapToGrid w:val="0"/>
        <w:spacing w:line="360" w:lineRule="auto"/>
        <w:ind w:firstLine="420" w:firstLineChars="200"/>
        <w:rPr>
          <w:rFonts w:hint="eastAsia"/>
          <w:szCs w:val="21"/>
          <w:lang w:eastAsia="zh-CN"/>
        </w:rPr>
      </w:pPr>
      <w:r>
        <w:rPr>
          <w:rFonts w:hint="eastAsia"/>
          <w:szCs w:val="21"/>
          <w:lang w:eastAsia="zh-CN"/>
        </w:rPr>
        <w:t>2.乙方所提供的药品应当符合本合同约定及《中华人民共和国产品质量法》、《中华人民共和国药品管理法》有关规定，且各项指标均达到公告规定、采购文件或投标/响应文件承诺的质量要求。</w:t>
      </w:r>
    </w:p>
    <w:p w14:paraId="61D4F3EA">
      <w:pPr>
        <w:snapToGrid w:val="0"/>
        <w:spacing w:line="360" w:lineRule="auto"/>
        <w:ind w:firstLine="420" w:firstLineChars="200"/>
        <w:rPr>
          <w:rFonts w:hint="eastAsia"/>
          <w:szCs w:val="21"/>
          <w:lang w:eastAsia="zh-CN"/>
        </w:rPr>
      </w:pPr>
      <w:r>
        <w:rPr>
          <w:rFonts w:hint="eastAsia"/>
          <w:szCs w:val="21"/>
          <w:lang w:eastAsia="zh-CN"/>
        </w:rPr>
        <w:t>3.乙方所提供的药品名称、生产厂家、规格、技术参数等须与采购文件规定及响应文件承诺相一致；乙方交付的药品，应满足甲方需求、合同目的，能够正常实现采购文件中要求的功能、参数。</w:t>
      </w:r>
    </w:p>
    <w:p w14:paraId="419E4807">
      <w:pPr>
        <w:spacing w:line="360" w:lineRule="auto"/>
        <w:ind w:firstLine="422" w:firstLineChars="200"/>
        <w:rPr>
          <w:rFonts w:hint="eastAsia"/>
          <w:b/>
          <w:bCs/>
          <w:szCs w:val="21"/>
          <w:lang w:eastAsia="zh-CN"/>
        </w:rPr>
      </w:pPr>
      <w:r>
        <w:rPr>
          <w:rFonts w:hint="eastAsia"/>
          <w:b/>
          <w:bCs/>
          <w:szCs w:val="21"/>
          <w:lang w:eastAsia="zh-CN"/>
        </w:rPr>
        <w:t>第三条 权利保证</w:t>
      </w:r>
    </w:p>
    <w:p w14:paraId="703DFD39">
      <w:pPr>
        <w:snapToGrid w:val="0"/>
        <w:spacing w:line="360" w:lineRule="auto"/>
        <w:ind w:firstLine="420" w:firstLineChars="200"/>
        <w:rPr>
          <w:rFonts w:hint="eastAsia"/>
          <w:szCs w:val="21"/>
          <w:lang w:eastAsia="zh-CN"/>
        </w:rPr>
      </w:pPr>
      <w:r>
        <w:rPr>
          <w:rFonts w:hint="eastAsia"/>
          <w:szCs w:val="21"/>
          <w:lang w:eastAsia="zh-CN"/>
        </w:rPr>
        <w:t>1</w:t>
      </w:r>
      <w:r>
        <w:rPr>
          <w:rFonts w:hint="eastAsia"/>
          <w:kern w:val="1"/>
          <w:szCs w:val="21"/>
          <w:lang w:eastAsia="zh-CN"/>
        </w:rPr>
        <w:t xml:space="preserve">. </w:t>
      </w:r>
      <w:r>
        <w:rPr>
          <w:rFonts w:hint="eastAsia"/>
          <w:szCs w:val="21"/>
          <w:lang w:eastAsia="zh-CN"/>
        </w:rPr>
        <w:t>乙方应保证所提供服务及产品在使用时不会侵犯任何第三方的专利权、商标权、工业设计权或其他权利。</w:t>
      </w:r>
    </w:p>
    <w:p w14:paraId="152854E4">
      <w:pPr>
        <w:snapToGrid w:val="0"/>
        <w:spacing w:line="360" w:lineRule="auto"/>
        <w:ind w:firstLine="420" w:firstLineChars="200"/>
        <w:rPr>
          <w:rFonts w:hint="eastAsia"/>
          <w:szCs w:val="21"/>
          <w:lang w:eastAsia="zh-CN"/>
        </w:rPr>
      </w:pPr>
      <w:r>
        <w:rPr>
          <w:rFonts w:hint="eastAsia"/>
          <w:szCs w:val="21"/>
          <w:lang w:eastAsia="zh-CN"/>
        </w:rPr>
        <w:t>2</w:t>
      </w:r>
      <w:r>
        <w:rPr>
          <w:rFonts w:hint="eastAsia"/>
          <w:kern w:val="1"/>
          <w:szCs w:val="21"/>
          <w:lang w:eastAsia="zh-CN"/>
        </w:rPr>
        <w:t xml:space="preserve">. </w:t>
      </w:r>
      <w:r>
        <w:rPr>
          <w:rFonts w:hint="eastAsia"/>
          <w:szCs w:val="21"/>
          <w:lang w:eastAsia="zh-CN"/>
        </w:rPr>
        <w:t>乙方应按公告规定、招标文件及投标文件承诺的时间向甲方提供有关技术资料。</w:t>
      </w:r>
    </w:p>
    <w:p w14:paraId="474D78EF">
      <w:pPr>
        <w:snapToGrid w:val="0"/>
        <w:spacing w:line="360" w:lineRule="auto"/>
        <w:ind w:firstLine="420" w:firstLineChars="200"/>
        <w:rPr>
          <w:rFonts w:hint="eastAsia"/>
          <w:szCs w:val="21"/>
          <w:lang w:eastAsia="zh-CN"/>
        </w:rPr>
      </w:pPr>
      <w:r>
        <w:rPr>
          <w:rFonts w:hint="eastAsia"/>
          <w:szCs w:val="21"/>
          <w:lang w:eastAsia="zh-CN"/>
        </w:rPr>
        <w:t>3</w:t>
      </w:r>
      <w:r>
        <w:rPr>
          <w:rFonts w:hint="eastAsia"/>
          <w:kern w:val="1"/>
          <w:szCs w:val="21"/>
          <w:lang w:eastAsia="zh-CN"/>
        </w:rPr>
        <w:t xml:space="preserve">. </w:t>
      </w:r>
      <w:r>
        <w:rPr>
          <w:rFonts w:hint="eastAsia"/>
          <w:szCs w:val="21"/>
          <w:lang w:eastAsia="zh-CN"/>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该保密义务为永久性，不因本合同的解除、撤销、无效、终止而免除。</w:t>
      </w:r>
    </w:p>
    <w:p w14:paraId="022534F5">
      <w:pPr>
        <w:snapToGrid w:val="0"/>
        <w:spacing w:line="360" w:lineRule="auto"/>
        <w:ind w:firstLine="420" w:firstLineChars="200"/>
        <w:rPr>
          <w:rFonts w:hint="eastAsia"/>
          <w:szCs w:val="21"/>
          <w:lang w:eastAsia="zh-CN"/>
        </w:rPr>
      </w:pPr>
      <w:r>
        <w:rPr>
          <w:rFonts w:hint="eastAsia"/>
          <w:szCs w:val="21"/>
          <w:lang w:eastAsia="zh-CN"/>
        </w:rPr>
        <w:t>4</w:t>
      </w:r>
      <w:r>
        <w:rPr>
          <w:rFonts w:hint="eastAsia"/>
          <w:kern w:val="1"/>
          <w:szCs w:val="21"/>
          <w:lang w:eastAsia="zh-CN"/>
        </w:rPr>
        <w:t xml:space="preserve">. </w:t>
      </w:r>
      <w:r>
        <w:rPr>
          <w:rFonts w:hint="eastAsia"/>
          <w:szCs w:val="21"/>
          <w:lang w:eastAsia="zh-CN"/>
        </w:rPr>
        <w:t>乙方保证服务中提供的零配件等产品的所有权完全属于乙方，且无任何抵押、质押、查封等产权瑕疵。</w:t>
      </w:r>
    </w:p>
    <w:p w14:paraId="686D3D18">
      <w:pPr>
        <w:spacing w:line="360" w:lineRule="auto"/>
        <w:ind w:firstLine="422" w:firstLineChars="200"/>
        <w:rPr>
          <w:rFonts w:hint="eastAsia"/>
          <w:b/>
          <w:szCs w:val="21"/>
          <w:lang w:eastAsia="zh-CN"/>
        </w:rPr>
      </w:pPr>
      <w:r>
        <w:rPr>
          <w:rFonts w:hint="eastAsia"/>
          <w:b/>
          <w:bCs/>
          <w:szCs w:val="21"/>
          <w:lang w:eastAsia="zh-CN"/>
        </w:rPr>
        <w:t>第四条</w:t>
      </w:r>
      <w:r>
        <w:rPr>
          <w:rFonts w:hint="eastAsia"/>
          <w:b/>
          <w:szCs w:val="21"/>
          <w:lang w:eastAsia="zh-CN"/>
        </w:rPr>
        <w:t xml:space="preserve"> 交付和验收</w:t>
      </w:r>
    </w:p>
    <w:p w14:paraId="41CDB45D">
      <w:pPr>
        <w:spacing w:line="360" w:lineRule="auto"/>
        <w:ind w:firstLine="420" w:firstLineChars="200"/>
        <w:rPr>
          <w:rFonts w:hint="eastAsia"/>
          <w:szCs w:val="21"/>
          <w:lang w:eastAsia="zh-CN"/>
        </w:rPr>
      </w:pPr>
      <w:r>
        <w:rPr>
          <w:rFonts w:hint="eastAsia"/>
          <w:szCs w:val="21"/>
          <w:lang w:eastAsia="zh-CN"/>
        </w:rPr>
        <w:t>1. 服务时间：</w:t>
      </w:r>
      <w:r>
        <w:rPr>
          <w:rFonts w:hint="eastAsia"/>
          <w:szCs w:val="21"/>
          <w:u w:val="single"/>
          <w:lang w:eastAsia="zh-CN"/>
        </w:rPr>
        <w:t xml:space="preserve">                      </w:t>
      </w:r>
      <w:r>
        <w:rPr>
          <w:rFonts w:hint="eastAsia"/>
          <w:szCs w:val="21"/>
          <w:lang w:eastAsia="zh-CN"/>
        </w:rPr>
        <w:t>。</w:t>
      </w:r>
    </w:p>
    <w:p w14:paraId="0B8D1AD2">
      <w:pPr>
        <w:spacing w:line="360" w:lineRule="auto"/>
        <w:ind w:firstLine="420" w:firstLineChars="200"/>
        <w:rPr>
          <w:rFonts w:hint="eastAsia"/>
          <w:szCs w:val="21"/>
          <w:lang w:eastAsia="zh-CN"/>
        </w:rPr>
      </w:pPr>
      <w:r>
        <w:rPr>
          <w:rFonts w:hint="eastAsia"/>
          <w:szCs w:val="21"/>
          <w:lang w:eastAsia="zh-CN"/>
        </w:rPr>
        <w:t xml:space="preserve">   交货时间：</w:t>
      </w:r>
      <w:r>
        <w:rPr>
          <w:rFonts w:hint="eastAsia"/>
          <w:bCs/>
          <w:szCs w:val="21"/>
          <w:u w:val="single"/>
          <w:lang w:eastAsia="zh-CN"/>
        </w:rPr>
        <w:t xml:space="preserve">                       </w:t>
      </w:r>
    </w:p>
    <w:p w14:paraId="3F4AA542">
      <w:pPr>
        <w:spacing w:line="360" w:lineRule="auto"/>
        <w:ind w:firstLine="707" w:firstLineChars="337"/>
        <w:rPr>
          <w:rFonts w:hint="eastAsia"/>
          <w:szCs w:val="21"/>
          <w:lang w:eastAsia="zh-CN"/>
        </w:rPr>
      </w:pPr>
      <w:r>
        <w:rPr>
          <w:rFonts w:hint="eastAsia"/>
          <w:szCs w:val="21"/>
          <w:lang w:eastAsia="zh-CN"/>
        </w:rPr>
        <w:t>配送地点：</w:t>
      </w:r>
      <w:r>
        <w:rPr>
          <w:rFonts w:hint="eastAsia"/>
          <w:szCs w:val="21"/>
          <w:u w:val="single"/>
          <w:lang w:eastAsia="zh-CN"/>
        </w:rPr>
        <w:t xml:space="preserve">                       </w:t>
      </w:r>
      <w:r>
        <w:rPr>
          <w:rFonts w:hint="eastAsia"/>
          <w:szCs w:val="21"/>
          <w:lang w:eastAsia="zh-CN"/>
        </w:rPr>
        <w:t>。</w:t>
      </w:r>
    </w:p>
    <w:p w14:paraId="2DB2ACF2">
      <w:pPr>
        <w:spacing w:line="360" w:lineRule="auto"/>
        <w:ind w:firstLine="420" w:firstLineChars="200"/>
        <w:rPr>
          <w:rFonts w:hint="eastAsia"/>
          <w:szCs w:val="21"/>
          <w:lang w:eastAsia="zh-CN"/>
        </w:rPr>
      </w:pPr>
      <w:r>
        <w:rPr>
          <w:rFonts w:hint="eastAsia"/>
          <w:szCs w:val="21"/>
          <w:lang w:eastAsia="zh-CN"/>
        </w:rPr>
        <w:t>2. 甲方对乙方提交的药品依据采购文件上的技术规格要求和国家有关质量标准进行现场签收，外观、说明书符合采购文件技术要求的，给予签收，不合格的不予签收。该签收仅指外观、说明书符合采购文件技术要求而非认可药品验收合格。</w:t>
      </w:r>
    </w:p>
    <w:p w14:paraId="3AA17CD5">
      <w:pPr>
        <w:spacing w:line="360" w:lineRule="auto"/>
        <w:ind w:firstLine="420" w:firstLineChars="200"/>
        <w:rPr>
          <w:rFonts w:hint="eastAsia"/>
          <w:szCs w:val="21"/>
          <w:lang w:eastAsia="zh-CN"/>
        </w:rPr>
      </w:pPr>
      <w:r>
        <w:rPr>
          <w:rFonts w:hint="eastAsia"/>
          <w:szCs w:val="21"/>
          <w:lang w:eastAsia="zh-CN"/>
        </w:rPr>
        <w:t>3. 甲方如发现乙方所交付的药品有短装、次品、损坏或其他不符合公告规定、采购文件、投标/响应文件承诺、本合同规定之情形的，甲方有权拒绝接受并根据药品具体情形做出现场记录（或由甲乙双方签署备忘录），此现场记录（或备忘录）可用作证明药品应补充更换、存在损坏的有效证据。乙方应负责免费补充、更换药品，由此产生的时间延误与有关费用由乙方承担，验收期限相应顺延。</w:t>
      </w:r>
    </w:p>
    <w:p w14:paraId="603EC4B4">
      <w:pPr>
        <w:spacing w:line="360" w:lineRule="auto"/>
        <w:ind w:firstLine="420" w:firstLineChars="200"/>
        <w:rPr>
          <w:rFonts w:hint="eastAsia"/>
          <w:szCs w:val="21"/>
          <w:lang w:eastAsia="zh-CN"/>
        </w:rPr>
      </w:pPr>
      <w:r>
        <w:rPr>
          <w:rFonts w:hint="eastAsia"/>
          <w:szCs w:val="21"/>
          <w:lang w:eastAsia="zh-CN"/>
        </w:rPr>
        <w:t>4. 乙方交货前应对拟提交的药品作出全面检查和对验收文件进行整理，并列出清单，作为甲方收货验收和使用的技术条件依据，检验的结果同样应随药品交甲方。同时，乙方应将所提供药品的装箱清单、用户手册、溯源信息等一并交付给甲方；乙方不能完整交付药品的，必须在甲方指定的期限内补齐，否则视为逾期交货。在合同标的物到达指定地点后，甲、乙双方代表应对药品的数量、包装、规格、品牌、质量、随付单证等清点，进行初步到货清点、验收。未经甲方清点、验收的药品乙方不得交付。</w:t>
      </w:r>
    </w:p>
    <w:p w14:paraId="0876161B">
      <w:pPr>
        <w:spacing w:line="360" w:lineRule="auto"/>
        <w:ind w:firstLine="420" w:firstLineChars="200"/>
        <w:rPr>
          <w:rFonts w:hint="eastAsia"/>
          <w:szCs w:val="21"/>
          <w:lang w:eastAsia="zh-CN"/>
        </w:rPr>
      </w:pPr>
      <w:r>
        <w:rPr>
          <w:rFonts w:hint="eastAsia"/>
          <w:szCs w:val="21"/>
          <w:lang w:eastAsia="zh-CN"/>
        </w:rPr>
        <w:t>5、甲方应当在到货后</w:t>
      </w:r>
      <w:r>
        <w:rPr>
          <w:rFonts w:hint="eastAsia"/>
          <w:szCs w:val="21"/>
          <w:u w:val="single"/>
          <w:lang w:eastAsia="zh-CN"/>
        </w:rPr>
        <w:t xml:space="preserve">     </w:t>
      </w:r>
      <w:r>
        <w:rPr>
          <w:rFonts w:hint="eastAsia"/>
          <w:szCs w:val="21"/>
          <w:lang w:eastAsia="zh-CN"/>
        </w:rPr>
        <w:t>内进行验收，逾期不验收的，亦不免除乙方质量保证责任。甲方组织验收，乙方必须到场配合，验收合格后由甲乙双方签署药品验收单并加盖双方公章，甲乙双方各执一份。对技术复杂的药品，甲方可请国家认可的专业检测机构参与验收，费用由乙方承担。</w:t>
      </w:r>
    </w:p>
    <w:p w14:paraId="353ABFD5">
      <w:pPr>
        <w:spacing w:line="360" w:lineRule="auto"/>
        <w:rPr>
          <w:rFonts w:hint="eastAsia"/>
          <w:szCs w:val="21"/>
          <w:lang w:eastAsia="zh-CN"/>
        </w:rPr>
      </w:pPr>
      <w:r>
        <w:rPr>
          <w:rFonts w:hint="eastAsia"/>
          <w:szCs w:val="21"/>
          <w:lang w:eastAsia="zh-CN"/>
        </w:rPr>
        <w:t xml:space="preserve">   6、乙方交付时，应当严格按照法定的运输管理要求及药品储存、包装标准等将药品按时发运给甲方，甲方收到乙方供货的药品时，应当场清点产品的整体整箱外包装（即大件包装）是否完好牢固。甲方在接收产品时，发现短少、破损、污染、异形等情形，或有其他不符合法律法规规定的情形，有权拒绝接收，乙方应及时更换被拒绝的中选品种，并承担由此对甲方造成的损失。</w:t>
      </w:r>
    </w:p>
    <w:p w14:paraId="29DE26CC">
      <w:pPr>
        <w:spacing w:line="360" w:lineRule="auto"/>
        <w:ind w:firstLine="420" w:firstLineChars="200"/>
        <w:rPr>
          <w:rFonts w:hint="eastAsia"/>
          <w:szCs w:val="21"/>
          <w:lang w:eastAsia="zh-CN"/>
        </w:rPr>
      </w:pPr>
      <w:r>
        <w:rPr>
          <w:rFonts w:hint="eastAsia"/>
          <w:szCs w:val="21"/>
          <w:lang w:eastAsia="zh-CN"/>
        </w:rPr>
        <w:t>7.若甲方委托第三方组织的验收项目，其验收时间以该项目验收方案确定的验收时间为准，验收结果以该项目验收报告结论为准。在验收过程中发现乙方有违约问题，可暂缓资金结算，待违约问题解决后，方可办理资金结算事宜，在此期间，甲方不承担逾期付款责任。</w:t>
      </w:r>
    </w:p>
    <w:p w14:paraId="4A832079">
      <w:pPr>
        <w:spacing w:line="360" w:lineRule="auto"/>
        <w:ind w:firstLine="420" w:firstLineChars="200"/>
        <w:rPr>
          <w:rFonts w:hint="eastAsia"/>
          <w:szCs w:val="21"/>
          <w:lang w:eastAsia="zh-CN"/>
        </w:rPr>
      </w:pPr>
      <w:r>
        <w:rPr>
          <w:rFonts w:hint="eastAsia"/>
          <w:szCs w:val="21"/>
          <w:lang w:eastAsia="zh-CN"/>
        </w:rPr>
        <w:t>8.甲方对验收有异议的，在验收后   个工作日内以书面形式向乙方提出，乙方应自收到甲方书面异议后    日内及时予以解决，乙方不予答复或未予以实质解决的，视为认可甲方异议及处置意见。</w:t>
      </w:r>
    </w:p>
    <w:p w14:paraId="23819CEC">
      <w:pPr>
        <w:spacing w:line="360" w:lineRule="auto"/>
        <w:ind w:firstLine="420" w:firstLineChars="200"/>
        <w:rPr>
          <w:rFonts w:hint="eastAsia"/>
          <w:szCs w:val="21"/>
          <w:lang w:eastAsia="zh-CN"/>
        </w:rPr>
      </w:pPr>
      <w:r>
        <w:rPr>
          <w:rFonts w:hint="eastAsia"/>
          <w:szCs w:val="21"/>
          <w:lang w:eastAsia="zh-CN"/>
        </w:rPr>
        <w:t>10.其他未尽事宜应严格参照《财政部关于进一步加强政府采购需求和验收管理的指导意见》[财库〔2016〕205号]规定执行。</w:t>
      </w:r>
    </w:p>
    <w:p w14:paraId="3E6DD0D7">
      <w:pPr>
        <w:snapToGrid w:val="0"/>
        <w:spacing w:line="360" w:lineRule="auto"/>
        <w:ind w:firstLine="422" w:firstLineChars="200"/>
        <w:rPr>
          <w:rFonts w:hint="eastAsia"/>
          <w:b/>
          <w:szCs w:val="21"/>
          <w:lang w:eastAsia="zh-CN"/>
        </w:rPr>
      </w:pPr>
      <w:r>
        <w:rPr>
          <w:rFonts w:hint="eastAsia"/>
          <w:b/>
          <w:szCs w:val="21"/>
          <w:lang w:eastAsia="zh-CN"/>
        </w:rPr>
        <w:t>第五条  甲方权利与义务</w:t>
      </w:r>
    </w:p>
    <w:p w14:paraId="15F1B069">
      <w:pPr>
        <w:snapToGrid w:val="0"/>
        <w:spacing w:line="360" w:lineRule="auto"/>
        <w:ind w:firstLine="420" w:firstLineChars="200"/>
        <w:rPr>
          <w:rFonts w:hint="eastAsia"/>
          <w:bCs/>
          <w:szCs w:val="21"/>
          <w:lang w:eastAsia="zh-CN"/>
        </w:rPr>
      </w:pPr>
      <w:r>
        <w:rPr>
          <w:rFonts w:hint="eastAsia"/>
          <w:bCs/>
          <w:szCs w:val="21"/>
          <w:lang w:eastAsia="zh-CN"/>
        </w:rPr>
        <w:t>1. 甲方有权要求乙方按时、按质、按量、按计划与合同协议约定完成中药饮片供应配送服务，并有权对乙方进行监督。</w:t>
      </w:r>
    </w:p>
    <w:p w14:paraId="740959A0">
      <w:pPr>
        <w:snapToGrid w:val="0"/>
        <w:spacing w:line="360" w:lineRule="auto"/>
        <w:ind w:firstLine="420" w:firstLineChars="200"/>
        <w:rPr>
          <w:rFonts w:hint="eastAsia"/>
          <w:b/>
          <w:szCs w:val="21"/>
          <w:lang w:eastAsia="zh-CN"/>
        </w:rPr>
      </w:pPr>
      <w:r>
        <w:rPr>
          <w:rFonts w:hint="eastAsia"/>
          <w:bCs/>
          <w:szCs w:val="21"/>
          <w:lang w:eastAsia="zh-CN"/>
        </w:rPr>
        <w:t>2. 按合同要求及时向乙方支付采购价款。</w:t>
      </w:r>
    </w:p>
    <w:p w14:paraId="25C032C8">
      <w:pPr>
        <w:snapToGrid w:val="0"/>
        <w:spacing w:line="360" w:lineRule="auto"/>
        <w:ind w:firstLine="422" w:firstLineChars="200"/>
        <w:rPr>
          <w:rFonts w:hint="eastAsia"/>
          <w:b/>
          <w:szCs w:val="21"/>
          <w:lang w:eastAsia="zh-CN"/>
        </w:rPr>
      </w:pPr>
      <w:r>
        <w:rPr>
          <w:rFonts w:hint="eastAsia"/>
          <w:b/>
          <w:szCs w:val="21"/>
          <w:lang w:eastAsia="zh-CN"/>
        </w:rPr>
        <w:t>第六条 乙方权利与义务</w:t>
      </w:r>
    </w:p>
    <w:p w14:paraId="5968EC9C">
      <w:pPr>
        <w:snapToGrid w:val="0"/>
        <w:spacing w:line="360" w:lineRule="auto"/>
        <w:ind w:firstLine="420" w:firstLineChars="200"/>
        <w:rPr>
          <w:rFonts w:hint="eastAsia"/>
          <w:bCs/>
          <w:szCs w:val="21"/>
          <w:lang w:eastAsia="zh-CN"/>
        </w:rPr>
      </w:pPr>
      <w:r>
        <w:rPr>
          <w:rFonts w:hint="eastAsia"/>
          <w:bCs/>
          <w:szCs w:val="21"/>
          <w:lang w:eastAsia="zh-CN"/>
        </w:rPr>
        <w:t>1. 乙方提供的药品应符合中华人民共和国国家药品质量标准和有关质量要求，以确保临床用药安全有效。药品的包装、标识、标签、说明书等应符合国家相关规定，并具备国家管理部门的相关批件。</w:t>
      </w:r>
    </w:p>
    <w:p w14:paraId="294A013A">
      <w:pPr>
        <w:snapToGrid w:val="0"/>
        <w:spacing w:line="360" w:lineRule="auto"/>
        <w:ind w:firstLine="420" w:firstLineChars="200"/>
        <w:rPr>
          <w:rFonts w:hint="eastAsia"/>
          <w:bCs/>
          <w:szCs w:val="21"/>
          <w:lang w:eastAsia="zh-CN"/>
        </w:rPr>
      </w:pPr>
      <w:r>
        <w:rPr>
          <w:rFonts w:hint="eastAsia"/>
          <w:bCs/>
          <w:szCs w:val="21"/>
          <w:lang w:eastAsia="zh-CN"/>
        </w:rPr>
        <w:t>2. 乙方应为合法的药品供应商，且具备法定的履行本合同的能力，乙方应确保在服务期限内，乙方的药品经营许可证等资质证照合法有效，如遇乙方上述证书换发，应在证书换发后的</w:t>
      </w:r>
      <w:r>
        <w:rPr>
          <w:rFonts w:hint="eastAsia"/>
          <w:bCs/>
          <w:szCs w:val="21"/>
          <w:u w:val="single"/>
          <w:lang w:eastAsia="zh-CN"/>
        </w:rPr>
        <w:t xml:space="preserve">    </w:t>
      </w:r>
      <w:r>
        <w:rPr>
          <w:rFonts w:hint="eastAsia"/>
          <w:bCs/>
          <w:szCs w:val="21"/>
          <w:lang w:eastAsia="zh-CN"/>
        </w:rPr>
        <w:t>个工作日内向甲方提供更新材料。</w:t>
      </w:r>
    </w:p>
    <w:p w14:paraId="171DDEC5">
      <w:pPr>
        <w:snapToGrid w:val="0"/>
        <w:spacing w:line="360" w:lineRule="auto"/>
        <w:ind w:firstLine="420" w:firstLineChars="200"/>
        <w:rPr>
          <w:rFonts w:hint="eastAsia"/>
          <w:bCs/>
          <w:szCs w:val="21"/>
          <w:lang w:eastAsia="zh-CN"/>
        </w:rPr>
      </w:pPr>
      <w:r>
        <w:rPr>
          <w:rFonts w:hint="eastAsia"/>
          <w:bCs/>
          <w:szCs w:val="21"/>
          <w:lang w:eastAsia="zh-CN"/>
        </w:rPr>
        <w:t>3. 乙方确保其每次交付给甲方的药品不存在发霉、生虫、出油等情形，如在乙方交付药品（中标供应商承诺时间）出现发霉、生虫、出油等情形的，乙方有义务无条件为甲方退换。</w:t>
      </w:r>
    </w:p>
    <w:p w14:paraId="6FF7F717">
      <w:pPr>
        <w:snapToGrid w:val="0"/>
        <w:spacing w:line="360" w:lineRule="auto"/>
        <w:ind w:firstLine="420" w:firstLineChars="200"/>
        <w:rPr>
          <w:rFonts w:hint="eastAsia"/>
          <w:bCs/>
          <w:szCs w:val="21"/>
          <w:lang w:eastAsia="zh-CN"/>
        </w:rPr>
      </w:pPr>
      <w:r>
        <w:rPr>
          <w:rFonts w:hint="eastAsia"/>
          <w:bCs/>
          <w:szCs w:val="21"/>
          <w:lang w:eastAsia="zh-CN"/>
        </w:rPr>
        <w:t>4. 乙方服务人员应履行保密义务。如乙方因违反本条约定给甲方造成损失的，乙方应当承担相应的法律责任，并赔偿由此给甲方造成的一切损失。</w:t>
      </w:r>
    </w:p>
    <w:p w14:paraId="16CF3128">
      <w:pPr>
        <w:spacing w:line="360" w:lineRule="auto"/>
        <w:ind w:firstLine="422" w:firstLineChars="200"/>
        <w:rPr>
          <w:rFonts w:hint="eastAsia"/>
          <w:b/>
          <w:bCs/>
          <w:szCs w:val="21"/>
          <w:lang w:eastAsia="zh-CN"/>
        </w:rPr>
      </w:pPr>
      <w:r>
        <w:rPr>
          <w:rFonts w:hint="eastAsia"/>
          <w:b/>
          <w:bCs/>
          <w:szCs w:val="21"/>
          <w:lang w:eastAsia="zh-CN"/>
        </w:rPr>
        <w:t>第七条 包装和运输</w:t>
      </w:r>
    </w:p>
    <w:p w14:paraId="259D927E">
      <w:pPr>
        <w:spacing w:line="360" w:lineRule="auto"/>
        <w:ind w:firstLine="420" w:firstLineChars="200"/>
        <w:rPr>
          <w:rFonts w:hint="eastAsia"/>
          <w:szCs w:val="21"/>
          <w:lang w:eastAsia="zh-CN"/>
        </w:rPr>
      </w:pPr>
      <w:r>
        <w:rPr>
          <w:rFonts w:hint="eastAsia"/>
          <w:szCs w:val="21"/>
          <w:lang w:eastAsia="zh-CN"/>
        </w:rPr>
        <w:t>1.乙方保证药品包装符合《中华人民共和国药品管理法》及国家各级药品监督管理机构颁布的法规规章及货物运输要求。</w:t>
      </w:r>
    </w:p>
    <w:p w14:paraId="29099FC7">
      <w:pPr>
        <w:spacing w:line="360" w:lineRule="auto"/>
        <w:ind w:firstLine="420" w:firstLineChars="200"/>
        <w:rPr>
          <w:rFonts w:hint="eastAsia"/>
          <w:szCs w:val="21"/>
          <w:lang w:eastAsia="zh-CN"/>
        </w:rPr>
      </w:pPr>
      <w:r>
        <w:rPr>
          <w:rFonts w:hint="eastAsia"/>
          <w:szCs w:val="21"/>
          <w:lang w:eastAsia="zh-CN"/>
        </w:rPr>
        <w:t>2.乙方保证药品特性的物流配送方式进行运输，并就运输过程中因包装或运输不善导致货品损坏或变质等承担全部责任。</w:t>
      </w:r>
    </w:p>
    <w:p w14:paraId="71434B04">
      <w:pPr>
        <w:spacing w:line="360" w:lineRule="auto"/>
        <w:ind w:firstLine="420" w:firstLineChars="200"/>
        <w:rPr>
          <w:rFonts w:hint="eastAsia"/>
          <w:szCs w:val="21"/>
          <w:lang w:eastAsia="zh-CN"/>
        </w:rPr>
      </w:pPr>
      <w:r>
        <w:rPr>
          <w:rFonts w:hint="eastAsia"/>
          <w:szCs w:val="21"/>
          <w:lang w:eastAsia="zh-CN"/>
        </w:rPr>
        <w:t>3.乙方负责服务交付成果、产品的运输。服务交付成果、产品的运输方式由乙方自定。服务交付成果、产品运输合理损耗及计算方法由乙方负责。除非对包装另有规定，乙方配送的全部药品必须按标准保护措施进行包装，以防止药品在转运中损坏或变质，确保药品安全无损运抵指定现场，否则甲方有权拒收，并且所造成的一切损失均由乙方负责。</w:t>
      </w:r>
    </w:p>
    <w:p w14:paraId="3DA1BB5C">
      <w:pPr>
        <w:spacing w:line="360" w:lineRule="auto"/>
        <w:ind w:firstLine="420" w:firstLineChars="200"/>
        <w:rPr>
          <w:rFonts w:hint="eastAsia"/>
          <w:szCs w:val="21"/>
          <w:lang w:eastAsia="zh-CN"/>
        </w:rPr>
      </w:pPr>
      <w:r>
        <w:rPr>
          <w:rFonts w:hint="eastAsia"/>
          <w:szCs w:val="21"/>
          <w:lang w:eastAsia="zh-CN"/>
        </w:rPr>
        <w:t>4.药品的运输方式：</w:t>
      </w:r>
      <w:r>
        <w:rPr>
          <w:rFonts w:hint="eastAsia"/>
          <w:szCs w:val="21"/>
          <w:u w:val="single"/>
          <w:lang w:eastAsia="zh-CN"/>
        </w:rPr>
        <w:t xml:space="preserve"> 符合药品运输及保护措施规定 </w:t>
      </w:r>
    </w:p>
    <w:p w14:paraId="009D8946">
      <w:pPr>
        <w:spacing w:line="360" w:lineRule="auto"/>
        <w:ind w:firstLine="420" w:firstLineChars="200"/>
        <w:rPr>
          <w:rFonts w:hint="eastAsia"/>
          <w:szCs w:val="21"/>
          <w:lang w:eastAsia="zh-CN"/>
        </w:rPr>
      </w:pPr>
      <w:r>
        <w:rPr>
          <w:rFonts w:hint="eastAsia"/>
          <w:szCs w:val="21"/>
          <w:lang w:eastAsia="zh-CN"/>
        </w:rPr>
        <w:t>5.乙方负责药品运输及相关费用，药品运输合理损耗及计算方法：药品运输保险费已包含在合同总价中，乙方须确保药品安全无损地运抵并搬卸至安装地点。</w:t>
      </w:r>
    </w:p>
    <w:p w14:paraId="36A7F588">
      <w:pPr>
        <w:spacing w:line="360" w:lineRule="auto"/>
        <w:ind w:firstLine="420" w:firstLineChars="200"/>
        <w:rPr>
          <w:rFonts w:hint="eastAsia"/>
          <w:szCs w:val="21"/>
          <w:lang w:eastAsia="zh-CN"/>
        </w:rPr>
      </w:pPr>
      <w:r>
        <w:rPr>
          <w:rFonts w:hint="eastAsia"/>
          <w:szCs w:val="21"/>
          <w:lang w:eastAsia="zh-CN"/>
        </w:rPr>
        <w:t>6.全部药品运输到甲方指定地点所发生包括但不限于运费、保险费、装卸费、仓储费及其他一切费用由乙方承担。药品装卸、转运需要装卸、运输工具的由乙方自行负责。乙方提供的药品包装及快递包装应满足财政部等三部门联合印发《商品包装和快递包装政府采购需求标准（试行）》财办库〔2020〕123号文及《医疗器械经营质量管理规范附录：专门提供医疗器械运输贮存服务的企业质量管理》要求和相关规范。</w:t>
      </w:r>
    </w:p>
    <w:p w14:paraId="64833799">
      <w:pPr>
        <w:spacing w:line="360" w:lineRule="auto"/>
        <w:ind w:firstLine="422" w:firstLineChars="200"/>
        <w:rPr>
          <w:rFonts w:hint="eastAsia"/>
          <w:b/>
          <w:szCs w:val="21"/>
          <w:lang w:eastAsia="zh-CN"/>
        </w:rPr>
      </w:pPr>
      <w:r>
        <w:rPr>
          <w:rFonts w:hint="eastAsia"/>
          <w:b/>
          <w:szCs w:val="21"/>
          <w:lang w:eastAsia="zh-CN"/>
        </w:rPr>
        <w:t>第八条 售后服务</w:t>
      </w:r>
      <w:r>
        <w:rPr>
          <w:rFonts w:hint="eastAsia" w:ascii="微软雅黑" w:hAnsi="微软雅黑" w:eastAsia="微软雅黑"/>
          <w:b/>
          <w:szCs w:val="21"/>
          <w:lang w:eastAsia="zh-CN"/>
        </w:rPr>
        <w:t>、质保期</w:t>
      </w:r>
    </w:p>
    <w:p w14:paraId="18F8E20B">
      <w:pPr>
        <w:spacing w:line="360" w:lineRule="auto"/>
        <w:ind w:firstLine="420"/>
        <w:rPr>
          <w:rFonts w:hint="eastAsia"/>
          <w:szCs w:val="21"/>
          <w:lang w:eastAsia="zh-CN"/>
        </w:rPr>
      </w:pPr>
      <w:r>
        <w:rPr>
          <w:rFonts w:hint="eastAsia"/>
          <w:szCs w:val="21"/>
          <w:lang w:eastAsia="zh-CN"/>
        </w:rPr>
        <w:t>1</w:t>
      </w:r>
      <w:r>
        <w:rPr>
          <w:rFonts w:hint="eastAsia"/>
          <w:kern w:val="1"/>
          <w:szCs w:val="21"/>
          <w:lang w:eastAsia="zh-CN"/>
        </w:rPr>
        <w:t>.</w:t>
      </w:r>
      <w:r>
        <w:rPr>
          <w:rFonts w:hint="eastAsia"/>
          <w:szCs w:val="21"/>
          <w:lang w:eastAsia="zh-CN"/>
        </w:rPr>
        <w:t xml:space="preserve"> 乙方应按照国家有关法律法规和“三包”规定以及公告、招标文件及投标文件的服务承诺，为甲方提供售后服务。</w:t>
      </w:r>
    </w:p>
    <w:p w14:paraId="1F048455">
      <w:pPr>
        <w:spacing w:line="360" w:lineRule="auto"/>
        <w:ind w:firstLine="420"/>
        <w:rPr>
          <w:rFonts w:hint="eastAsia"/>
          <w:szCs w:val="21"/>
          <w:lang w:eastAsia="zh-CN"/>
        </w:rPr>
      </w:pPr>
      <w:r>
        <w:rPr>
          <w:rFonts w:hint="eastAsia"/>
          <w:szCs w:val="21"/>
          <w:lang w:eastAsia="zh-CN"/>
        </w:rPr>
        <w:t>2. 质保期：</w:t>
      </w:r>
      <w:r>
        <w:rPr>
          <w:rFonts w:hint="eastAsia"/>
          <w:szCs w:val="21"/>
          <w:u w:val="single"/>
          <w:lang w:eastAsia="zh-CN"/>
        </w:rPr>
        <w:t xml:space="preserve">                           </w:t>
      </w:r>
      <w:r>
        <w:rPr>
          <w:szCs w:val="21"/>
          <w:u w:val="single"/>
          <w:lang w:eastAsia="zh-CN"/>
        </w:rPr>
        <w:t>。</w:t>
      </w:r>
    </w:p>
    <w:p w14:paraId="0B557D89">
      <w:pPr>
        <w:spacing w:line="360" w:lineRule="auto"/>
        <w:ind w:firstLine="420"/>
        <w:rPr>
          <w:rFonts w:hint="eastAsia"/>
          <w:szCs w:val="21"/>
          <w:lang w:eastAsia="zh-CN"/>
        </w:rPr>
      </w:pPr>
      <w:r>
        <w:rPr>
          <w:rFonts w:hint="eastAsia"/>
          <w:szCs w:val="21"/>
          <w:lang w:eastAsia="zh-CN"/>
        </w:rPr>
        <w:t>3. 乙方提供的服务承诺和售后服务责任等其它具体约定事项（见合同附件)。</w:t>
      </w:r>
    </w:p>
    <w:p w14:paraId="69BD9D46">
      <w:pPr>
        <w:spacing w:line="360" w:lineRule="auto"/>
        <w:ind w:firstLine="422" w:firstLineChars="200"/>
        <w:rPr>
          <w:rFonts w:hint="eastAsia"/>
          <w:b/>
          <w:bCs/>
          <w:szCs w:val="21"/>
          <w:lang w:eastAsia="zh-CN"/>
        </w:rPr>
      </w:pPr>
      <w:r>
        <w:rPr>
          <w:rFonts w:hint="eastAsia"/>
          <w:b/>
          <w:bCs/>
          <w:szCs w:val="21"/>
          <w:lang w:eastAsia="zh-CN"/>
        </w:rPr>
        <w:t>第九条 付款方式</w:t>
      </w:r>
    </w:p>
    <w:p w14:paraId="2A478296">
      <w:pPr>
        <w:pStyle w:val="6"/>
        <w:spacing w:line="360" w:lineRule="auto"/>
        <w:ind w:firstLine="420" w:firstLineChars="200"/>
        <w:jc w:val="both"/>
        <w:rPr>
          <w:rFonts w:ascii="宋体" w:hAnsi="宋体" w:eastAsia="宋体"/>
          <w:sz w:val="21"/>
          <w:szCs w:val="21"/>
        </w:rPr>
      </w:pPr>
      <w:r>
        <w:rPr>
          <w:rFonts w:ascii="宋体" w:hAnsi="宋体" w:eastAsia="宋体"/>
          <w:sz w:val="21"/>
          <w:szCs w:val="21"/>
          <w:u w:val="single"/>
          <w:lang w:eastAsia="zh-CN"/>
        </w:rPr>
        <w:t xml:space="preserve">             </w:t>
      </w:r>
      <w:r>
        <w:rPr>
          <w:rFonts w:ascii="宋体" w:hAnsi="宋体" w:eastAsia="宋体"/>
          <w:sz w:val="21"/>
          <w:szCs w:val="21"/>
          <w:u w:val="single"/>
        </w:rPr>
        <w:t>。</w:t>
      </w:r>
      <w:r>
        <w:rPr>
          <w:rFonts w:ascii="宋体" w:hAnsi="宋体" w:eastAsia="宋体"/>
          <w:sz w:val="21"/>
          <w:szCs w:val="21"/>
        </w:rPr>
        <w:t xml:space="preserve"> </w:t>
      </w:r>
    </w:p>
    <w:p w14:paraId="14698D83">
      <w:pPr>
        <w:spacing w:line="360" w:lineRule="auto"/>
        <w:ind w:firstLine="422" w:firstLineChars="200"/>
        <w:rPr>
          <w:rFonts w:hint="eastAsia"/>
          <w:b/>
          <w:bCs/>
          <w:szCs w:val="21"/>
          <w:lang w:eastAsia="zh-CN"/>
        </w:rPr>
      </w:pPr>
      <w:r>
        <w:rPr>
          <w:rFonts w:hint="eastAsia"/>
          <w:b/>
          <w:bCs/>
          <w:szCs w:val="21"/>
          <w:lang w:eastAsia="zh-CN"/>
        </w:rPr>
        <w:t>第十条 履约保证金</w:t>
      </w:r>
    </w:p>
    <w:p w14:paraId="306685F9">
      <w:pPr>
        <w:suppressAutoHyphens/>
        <w:snapToGrid w:val="0"/>
        <w:spacing w:line="360" w:lineRule="auto"/>
        <w:ind w:firstLine="420" w:firstLineChars="200"/>
        <w:rPr>
          <w:rFonts w:hint="eastAsia"/>
          <w:kern w:val="1"/>
          <w:szCs w:val="21"/>
          <w:lang w:eastAsia="zh-CN"/>
        </w:rPr>
      </w:pPr>
      <w:r>
        <w:rPr>
          <w:rFonts w:hint="eastAsia"/>
          <w:szCs w:val="21"/>
          <w:lang w:eastAsia="zh-CN"/>
        </w:rPr>
        <w:t>无。</w:t>
      </w:r>
    </w:p>
    <w:p w14:paraId="682E81D0">
      <w:pPr>
        <w:spacing w:line="360" w:lineRule="auto"/>
        <w:ind w:firstLine="422" w:firstLineChars="200"/>
        <w:rPr>
          <w:rFonts w:hint="eastAsia"/>
          <w:b/>
          <w:bCs/>
          <w:szCs w:val="21"/>
          <w:lang w:eastAsia="zh-CN"/>
        </w:rPr>
      </w:pPr>
      <w:r>
        <w:rPr>
          <w:rFonts w:hint="eastAsia"/>
          <w:b/>
          <w:bCs/>
          <w:szCs w:val="21"/>
          <w:lang w:eastAsia="zh-CN"/>
        </w:rPr>
        <w:t>第十一条 税费</w:t>
      </w:r>
    </w:p>
    <w:p w14:paraId="5B36F907">
      <w:pPr>
        <w:spacing w:line="360" w:lineRule="auto"/>
        <w:ind w:firstLine="420" w:firstLineChars="200"/>
        <w:rPr>
          <w:rFonts w:hint="eastAsia"/>
          <w:szCs w:val="21"/>
          <w:lang w:eastAsia="zh-CN"/>
        </w:rPr>
      </w:pPr>
      <w:r>
        <w:rPr>
          <w:rFonts w:hint="eastAsia"/>
          <w:szCs w:val="21"/>
          <w:lang w:eastAsia="zh-CN"/>
        </w:rPr>
        <w:t>本合同执行中相关的一切税费均由乙方负担。</w:t>
      </w:r>
    </w:p>
    <w:p w14:paraId="66FC7408">
      <w:pPr>
        <w:snapToGrid w:val="0"/>
        <w:spacing w:line="360" w:lineRule="auto"/>
        <w:ind w:firstLine="422" w:firstLineChars="200"/>
        <w:rPr>
          <w:rFonts w:hint="eastAsia"/>
          <w:b/>
          <w:szCs w:val="21"/>
          <w:lang w:eastAsia="zh-CN"/>
        </w:rPr>
      </w:pPr>
      <w:r>
        <w:rPr>
          <w:rFonts w:hint="eastAsia"/>
          <w:b/>
          <w:szCs w:val="21"/>
          <w:lang w:eastAsia="zh-CN"/>
        </w:rPr>
        <w:t>第十二条 违约责任</w:t>
      </w:r>
    </w:p>
    <w:p w14:paraId="7DFC45B9">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1.乙方所提供的药品规格、技术标准、材料、品牌等不符合采购文件、响应文件、国家质量标准、行业质量标准的，应在    日内更换，换货期间计入乙方交货时间，如因换货导致逾期交货的，乙方应承担相应违约责任。乙方拒绝更换或更换药品后仍不符合本合同约定的，该药品的价款不计入结算金额（或从合同合计金额中扣除），且乙方应按合同合计金额的     %向甲方支付违约金；乙方所提供的药品仅存在不影响使用的质量瑕疵且特殊情况下甲方同意接收的，乙方应向甲方支付违约货款额    %的违约金。</w:t>
      </w:r>
    </w:p>
    <w:p w14:paraId="520BBCD9">
      <w:pPr>
        <w:suppressAutoHyphens/>
        <w:snapToGrid w:val="0"/>
        <w:spacing w:line="360" w:lineRule="auto"/>
        <w:ind w:firstLine="420" w:firstLineChars="200"/>
        <w:rPr>
          <w:rFonts w:hint="eastAsia"/>
          <w:kern w:val="1"/>
          <w:szCs w:val="21"/>
          <w:lang w:eastAsia="zh-CN"/>
        </w:rPr>
      </w:pPr>
      <w:r>
        <w:rPr>
          <w:rFonts w:hint="eastAsia"/>
          <w:kern w:val="1"/>
          <w:szCs w:val="21"/>
          <w:lang w:eastAsia="zh-CN"/>
        </w:rPr>
        <w:t>2.乙方提供的药品如侵犯了第三方合法权益（包括但不限于知识产权、所有权、用益物权、担保物权等）而引发的任何纠纷或诉讼，均由乙方负责交涉并承担全部责任。在处理纠纷或诉讼的过程中，乙方应为甲方取得继续使用该药品的权利，或者将该药品替换或修改，以便使用该药品不再侵权。如果乙方不能合理地完成这些补救措施，并且甲方必须停止使用侵权的药品，甲方有权解除合同，要求乙方需退还甲方已付价款，并有权要求乙方按合同合计金额的    %支付违约金。</w:t>
      </w:r>
    </w:p>
    <w:p w14:paraId="2758A760">
      <w:pPr>
        <w:suppressAutoHyphens/>
        <w:snapToGrid w:val="0"/>
        <w:spacing w:line="360" w:lineRule="auto"/>
        <w:ind w:firstLine="420" w:firstLineChars="200"/>
        <w:rPr>
          <w:rFonts w:hint="eastAsia"/>
          <w:kern w:val="1"/>
          <w:szCs w:val="21"/>
          <w:lang w:eastAsia="zh-CN"/>
        </w:rPr>
      </w:pPr>
      <w:r>
        <w:rPr>
          <w:rFonts w:hint="eastAsia"/>
          <w:kern w:val="1"/>
          <w:szCs w:val="21"/>
          <w:lang w:eastAsia="zh-CN"/>
        </w:rPr>
        <w:t>3.因包装、运输引起的药品损坏，甲方有权选择不予接收或按质量不合格要求乙方承担相应违约责任。</w:t>
      </w:r>
    </w:p>
    <w:p w14:paraId="15FA7D48">
      <w:pPr>
        <w:suppressAutoHyphens/>
        <w:snapToGrid w:val="0"/>
        <w:spacing w:line="360" w:lineRule="auto"/>
        <w:ind w:firstLine="420" w:firstLineChars="200"/>
        <w:rPr>
          <w:rFonts w:hint="eastAsia"/>
          <w:kern w:val="1"/>
          <w:szCs w:val="21"/>
          <w:lang w:eastAsia="zh-CN"/>
        </w:rPr>
      </w:pPr>
      <w:r>
        <w:rPr>
          <w:rFonts w:hint="eastAsia"/>
          <w:kern w:val="1"/>
          <w:szCs w:val="21"/>
          <w:lang w:eastAsia="zh-CN"/>
        </w:rPr>
        <w:t xml:space="preserve">4.甲方无故延期接收药品的，需补偿乙方因此增加的直接成本。乙方逾期交货的，每天向甲方偿付违约货款额 </w:t>
      </w:r>
      <w:r>
        <w:rPr>
          <w:rFonts w:hint="eastAsia"/>
          <w:kern w:val="1"/>
          <w:szCs w:val="21"/>
          <w:lang w:val="en-US" w:eastAsia="zh-CN"/>
        </w:rPr>
        <w:t>10</w:t>
      </w:r>
      <w:r>
        <w:rPr>
          <w:rFonts w:hint="eastAsia"/>
          <w:kern w:val="1"/>
          <w:szCs w:val="21"/>
          <w:lang w:eastAsia="zh-CN"/>
        </w:rPr>
        <w:t xml:space="preserve"> ‰的违约金，超过30天甲方有权解除合同；甲方延期支付货款的，每天向乙方偿付延期货款额 </w:t>
      </w:r>
      <w:r>
        <w:rPr>
          <w:rFonts w:hint="eastAsia"/>
          <w:kern w:val="1"/>
          <w:szCs w:val="21"/>
          <w:lang w:val="en-US" w:eastAsia="zh-CN"/>
        </w:rPr>
        <w:t>5</w:t>
      </w:r>
      <w:r>
        <w:rPr>
          <w:rFonts w:hint="eastAsia"/>
          <w:kern w:val="1"/>
          <w:szCs w:val="21"/>
          <w:lang w:eastAsia="zh-CN"/>
        </w:rPr>
        <w:t xml:space="preserve"> ‰ 迟延履行金，但迟延履行金累计不得超过延期货款额 </w:t>
      </w:r>
      <w:r>
        <w:rPr>
          <w:rFonts w:hint="eastAsia"/>
          <w:kern w:val="1"/>
          <w:szCs w:val="21"/>
          <w:lang w:val="en-US" w:eastAsia="zh-CN"/>
        </w:rPr>
        <w:t>10</w:t>
      </w:r>
      <w:r>
        <w:rPr>
          <w:rFonts w:hint="eastAsia"/>
          <w:kern w:val="1"/>
          <w:szCs w:val="21"/>
          <w:lang w:eastAsia="zh-CN"/>
        </w:rPr>
        <w:t xml:space="preserve"> %。</w:t>
      </w:r>
    </w:p>
    <w:p w14:paraId="6EAD56BB">
      <w:pPr>
        <w:suppressAutoHyphens/>
        <w:snapToGrid w:val="0"/>
        <w:spacing w:line="360" w:lineRule="auto"/>
        <w:ind w:firstLine="420" w:firstLineChars="200"/>
        <w:rPr>
          <w:rFonts w:hint="eastAsia"/>
          <w:kern w:val="1"/>
          <w:szCs w:val="21"/>
          <w:lang w:eastAsia="zh-CN"/>
        </w:rPr>
      </w:pPr>
      <w:r>
        <w:rPr>
          <w:rFonts w:hint="eastAsia"/>
          <w:kern w:val="1"/>
          <w:szCs w:val="21"/>
          <w:lang w:eastAsia="zh-CN"/>
        </w:rPr>
        <w:t xml:space="preserve">5.乙方未按本合同和投标/响应文件中规定的服务承诺提供售后服务的，每出现一次，乙方应按本合同合计金额的 </w:t>
      </w:r>
      <w:r>
        <w:rPr>
          <w:rFonts w:hint="eastAsia"/>
          <w:kern w:val="1"/>
          <w:szCs w:val="21"/>
          <w:lang w:val="en-US" w:eastAsia="zh-CN"/>
        </w:rPr>
        <w:t>5</w:t>
      </w:r>
      <w:r>
        <w:rPr>
          <w:rFonts w:hint="eastAsia"/>
          <w:kern w:val="1"/>
          <w:szCs w:val="21"/>
          <w:lang w:eastAsia="zh-CN"/>
        </w:rPr>
        <w:t xml:space="preserve"> %向甲方支付违约金。</w:t>
      </w:r>
    </w:p>
    <w:p w14:paraId="0AE5280B">
      <w:pPr>
        <w:suppressAutoHyphens/>
        <w:snapToGrid w:val="0"/>
        <w:spacing w:line="360" w:lineRule="auto"/>
        <w:ind w:firstLine="420" w:firstLineChars="200"/>
        <w:rPr>
          <w:rFonts w:hint="eastAsia"/>
          <w:kern w:val="1"/>
          <w:szCs w:val="21"/>
          <w:lang w:eastAsia="zh-CN"/>
        </w:rPr>
      </w:pPr>
      <w:r>
        <w:rPr>
          <w:rFonts w:hint="eastAsia"/>
          <w:kern w:val="1"/>
          <w:szCs w:val="21"/>
          <w:lang w:eastAsia="zh-CN"/>
        </w:rPr>
        <w:t>6.乙方提供的药品在质量保证期内，因设计、工艺或材料的缺陷和其他质量原因造成甲方人员（含经允许进入甲方场地的第三人）、该药品之外的其他物品受到伤害（损坏）的，由乙方负责承担由此产生的一切赔偿责任。</w:t>
      </w:r>
    </w:p>
    <w:p w14:paraId="143DD4E3">
      <w:pPr>
        <w:suppressAutoHyphens/>
        <w:snapToGrid w:val="0"/>
        <w:spacing w:line="360" w:lineRule="auto"/>
        <w:ind w:firstLine="420" w:firstLineChars="200"/>
        <w:rPr>
          <w:rFonts w:hint="eastAsia"/>
          <w:kern w:val="1"/>
          <w:szCs w:val="21"/>
          <w:lang w:eastAsia="zh-CN"/>
        </w:rPr>
      </w:pPr>
      <w:r>
        <w:rPr>
          <w:rFonts w:hint="eastAsia"/>
          <w:kern w:val="1"/>
          <w:szCs w:val="21"/>
          <w:lang w:eastAsia="zh-CN"/>
        </w:rPr>
        <w:t>7.未经甲方书面许可，乙方擅自将本合同项下义务交由第三方完成的，视为乙方根本违约，甲方有权解除本合同。</w:t>
      </w:r>
    </w:p>
    <w:p w14:paraId="231CC65C">
      <w:pPr>
        <w:suppressAutoHyphens/>
        <w:snapToGrid w:val="0"/>
        <w:spacing w:line="360" w:lineRule="auto"/>
        <w:ind w:firstLine="420" w:firstLineChars="200"/>
        <w:rPr>
          <w:rFonts w:hint="eastAsia"/>
          <w:kern w:val="1"/>
          <w:szCs w:val="21"/>
          <w:lang w:eastAsia="zh-CN"/>
        </w:rPr>
      </w:pPr>
      <w:r>
        <w:rPr>
          <w:rFonts w:hint="eastAsia"/>
          <w:kern w:val="1"/>
          <w:szCs w:val="21"/>
          <w:lang w:eastAsia="zh-CN"/>
        </w:rPr>
        <w:t xml:space="preserve">8.乙方未按约提供合法有效的足额发票的，除须向甲方补开发票外，还须向甲方支付相当于不符合合同约定的发票票面金额 </w:t>
      </w:r>
      <w:r>
        <w:rPr>
          <w:rFonts w:hint="eastAsia"/>
          <w:kern w:val="1"/>
          <w:szCs w:val="21"/>
          <w:lang w:val="en-US" w:eastAsia="zh-CN"/>
        </w:rPr>
        <w:t>5</w:t>
      </w:r>
      <w:r>
        <w:rPr>
          <w:rFonts w:hint="eastAsia"/>
          <w:kern w:val="1"/>
          <w:szCs w:val="21"/>
          <w:lang w:eastAsia="zh-CN"/>
        </w:rPr>
        <w:t xml:space="preserve"> %的违约金。</w:t>
      </w:r>
    </w:p>
    <w:p w14:paraId="21F26C40">
      <w:pPr>
        <w:suppressAutoHyphens/>
        <w:snapToGrid w:val="0"/>
        <w:spacing w:line="360" w:lineRule="auto"/>
        <w:ind w:firstLine="420" w:firstLineChars="200"/>
        <w:rPr>
          <w:rFonts w:hint="eastAsia"/>
          <w:kern w:val="1"/>
          <w:szCs w:val="21"/>
          <w:lang w:eastAsia="zh-CN"/>
        </w:rPr>
      </w:pPr>
      <w:r>
        <w:rPr>
          <w:rFonts w:hint="eastAsia"/>
          <w:kern w:val="1"/>
          <w:szCs w:val="21"/>
          <w:lang w:eastAsia="zh-CN"/>
        </w:rPr>
        <w:t xml:space="preserve">9. 乙方的其他违约行为，按违约货款额 </w:t>
      </w:r>
      <w:r>
        <w:rPr>
          <w:rFonts w:hint="eastAsia"/>
          <w:kern w:val="1"/>
          <w:szCs w:val="21"/>
          <w:lang w:val="en-US" w:eastAsia="zh-CN"/>
        </w:rPr>
        <w:t>5</w:t>
      </w:r>
      <w:r>
        <w:rPr>
          <w:rFonts w:hint="eastAsia"/>
          <w:kern w:val="1"/>
          <w:szCs w:val="21"/>
          <w:lang w:eastAsia="zh-CN"/>
        </w:rPr>
        <w:t xml:space="preserve"> %收取违约金。</w:t>
      </w:r>
    </w:p>
    <w:p w14:paraId="6C2F88E5">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10. 甲方解除合同的，除有权要求乙方按相应违约条款承担违约责任外，还有权要求乙方按本合同合计金额的30%支付违约金。</w:t>
      </w:r>
    </w:p>
    <w:p w14:paraId="76A3BB7D">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11. 任何一方存在任何违约行为的，除按合同约定承担违约责任外，还应赔偿守约方的一切经济损失，包括直接的财产损失，以及因违约造成的可能产生的预期经济损失以及守约为应对相关处罚、纠纷、诉讼支出的全部费用（包括但不限于守约方因此承担的处罚、赔偿责任、发生的当事人以及代理人差旅费、诉讼费、公告费、律师费、公证费、保全费、诉讼保全保险费、评估费、鉴定费及其他损失等）。</w:t>
      </w:r>
    </w:p>
    <w:p w14:paraId="025CA5D2">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12. 按本合同约定或法律规定，甲方主张解除合同的，自甲方解除合同的书面通知送达乙方之日起合同解除，乙方应赔偿由此给甲方造成的全部损失。甲方不支付乙方任何费用，乙方对解除合同有异议的异议期为叁日。乙方应当在合同解除后伍日内退还甲方支付的所有费用（如有），自费运回所交付的药品，付清违约金、赔偿金。</w:t>
      </w:r>
    </w:p>
    <w:p w14:paraId="3752230F">
      <w:pPr>
        <w:snapToGrid w:val="0"/>
        <w:spacing w:line="360" w:lineRule="auto"/>
        <w:ind w:firstLine="422" w:firstLineChars="200"/>
        <w:rPr>
          <w:rFonts w:hint="eastAsia"/>
          <w:b/>
          <w:szCs w:val="21"/>
          <w:lang w:eastAsia="zh-CN"/>
        </w:rPr>
      </w:pPr>
      <w:r>
        <w:rPr>
          <w:rFonts w:hint="eastAsia"/>
          <w:b/>
          <w:szCs w:val="21"/>
          <w:lang w:eastAsia="zh-CN"/>
        </w:rPr>
        <w:t>第十三条 不可抗力事件处理</w:t>
      </w:r>
    </w:p>
    <w:p w14:paraId="6517D203">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 在合同有效期内，任何一方因不可抗力事件导致不能履行合同，则合同履行期可延长，其延长期由双方另行商定。</w:t>
      </w:r>
    </w:p>
    <w:p w14:paraId="5DE0AC95">
      <w:pPr>
        <w:suppressAutoHyphens/>
        <w:snapToGrid w:val="0"/>
        <w:spacing w:line="360" w:lineRule="auto"/>
        <w:ind w:firstLine="420" w:firstLineChars="200"/>
        <w:rPr>
          <w:rFonts w:hint="eastAsia"/>
          <w:kern w:val="1"/>
          <w:szCs w:val="21"/>
          <w:lang w:eastAsia="zh-CN"/>
        </w:rPr>
      </w:pPr>
      <w:r>
        <w:rPr>
          <w:rFonts w:hint="eastAsia"/>
          <w:kern w:val="1"/>
          <w:szCs w:val="21"/>
          <w:lang w:eastAsia="zh-CN"/>
        </w:rPr>
        <w:t>2. 不可抗力事件发生后，受到不可抗力事件影响的一方应立即通知对方，并寄送有关权威机构出具的证明。</w:t>
      </w:r>
    </w:p>
    <w:p w14:paraId="0F49B4C3">
      <w:pPr>
        <w:suppressAutoHyphens/>
        <w:snapToGrid w:val="0"/>
        <w:spacing w:line="360" w:lineRule="auto"/>
        <w:ind w:firstLine="420" w:firstLineChars="200"/>
        <w:rPr>
          <w:rFonts w:hint="eastAsia"/>
          <w:kern w:val="1"/>
          <w:szCs w:val="21"/>
          <w:lang w:eastAsia="zh-CN"/>
        </w:rPr>
      </w:pPr>
      <w:r>
        <w:rPr>
          <w:rFonts w:hint="eastAsia"/>
          <w:kern w:val="1"/>
          <w:szCs w:val="21"/>
          <w:lang w:eastAsia="zh-CN"/>
        </w:rPr>
        <w:t>3. 不可抗力事件延续一百二十天以上，双方应通过友好协商，确定是否继续履行合同。</w:t>
      </w:r>
    </w:p>
    <w:p w14:paraId="19A84E25">
      <w:pPr>
        <w:snapToGrid w:val="0"/>
        <w:spacing w:line="360" w:lineRule="auto"/>
        <w:ind w:firstLine="422" w:firstLineChars="200"/>
        <w:rPr>
          <w:rFonts w:hint="eastAsia"/>
          <w:b/>
          <w:szCs w:val="21"/>
          <w:lang w:eastAsia="zh-CN"/>
        </w:rPr>
      </w:pPr>
      <w:r>
        <w:rPr>
          <w:rFonts w:hint="eastAsia"/>
          <w:b/>
          <w:szCs w:val="21"/>
          <w:lang w:eastAsia="zh-CN"/>
        </w:rPr>
        <w:t>第十四条 合同争议解决</w:t>
      </w:r>
    </w:p>
    <w:p w14:paraId="68CAA8D9">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 因服务及产品质量问题发生争议的，应邀请国家认可的质量检测机构按照国家标准对货物质量进行</w:t>
      </w:r>
      <w:r>
        <w:rPr>
          <w:rFonts w:hint="eastAsia"/>
          <w:kern w:val="1"/>
          <w:szCs w:val="21"/>
          <w:lang w:eastAsia="zh-Hans"/>
        </w:rPr>
        <w:t>鉴定</w:t>
      </w:r>
      <w:r>
        <w:rPr>
          <w:rFonts w:hint="eastAsia"/>
          <w:kern w:val="1"/>
          <w:szCs w:val="21"/>
          <w:lang w:eastAsia="zh-CN"/>
        </w:rPr>
        <w:t>。符合国家标准的，鉴定费由甲方承担；不符合国家标准的，鉴定费由乙方承担。</w:t>
      </w:r>
    </w:p>
    <w:p w14:paraId="41BC6AA4">
      <w:pPr>
        <w:suppressAutoHyphens/>
        <w:snapToGrid w:val="0"/>
        <w:spacing w:line="360" w:lineRule="auto"/>
        <w:ind w:firstLine="420" w:firstLineChars="200"/>
        <w:rPr>
          <w:rFonts w:hint="eastAsia"/>
          <w:kern w:val="1"/>
          <w:szCs w:val="21"/>
          <w:lang w:eastAsia="zh-CN"/>
        </w:rPr>
      </w:pPr>
      <w:r>
        <w:rPr>
          <w:rFonts w:hint="eastAsia"/>
          <w:kern w:val="1"/>
          <w:szCs w:val="21"/>
          <w:lang w:eastAsia="zh-CN"/>
        </w:rPr>
        <w:t>2. 因履行本合同引起的或与本合同有关的争议，甲乙双方应首先通过友好协商解决，如果协商不能解决，可向甲方所在地人民法院提起诉讼。</w:t>
      </w:r>
    </w:p>
    <w:p w14:paraId="7453FF4D">
      <w:pPr>
        <w:suppressAutoHyphens/>
        <w:snapToGrid w:val="0"/>
        <w:spacing w:line="360" w:lineRule="auto"/>
        <w:ind w:firstLine="420" w:firstLineChars="200"/>
        <w:rPr>
          <w:rFonts w:hint="eastAsia"/>
          <w:kern w:val="1"/>
          <w:szCs w:val="21"/>
          <w:lang w:eastAsia="zh-CN"/>
        </w:rPr>
      </w:pPr>
      <w:r>
        <w:rPr>
          <w:rFonts w:hint="eastAsia"/>
          <w:kern w:val="1"/>
          <w:szCs w:val="21"/>
          <w:lang w:eastAsia="zh-CN"/>
        </w:rPr>
        <w:t>3. 诉讼期间，本合同继续履行。</w:t>
      </w:r>
    </w:p>
    <w:p w14:paraId="55761220">
      <w:pPr>
        <w:snapToGrid w:val="0"/>
        <w:spacing w:line="360" w:lineRule="auto"/>
        <w:ind w:firstLine="422" w:firstLineChars="200"/>
        <w:rPr>
          <w:rFonts w:hint="eastAsia"/>
          <w:b/>
          <w:szCs w:val="21"/>
          <w:lang w:eastAsia="zh-CN"/>
        </w:rPr>
      </w:pPr>
      <w:r>
        <w:rPr>
          <w:rFonts w:hint="eastAsia"/>
          <w:b/>
          <w:szCs w:val="21"/>
          <w:lang w:eastAsia="zh-CN"/>
        </w:rPr>
        <w:t>第十五条 合同生效及其它</w:t>
      </w:r>
    </w:p>
    <w:p w14:paraId="2DA237DC">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 合同履行地点为：</w:t>
      </w:r>
      <w:r>
        <w:rPr>
          <w:rFonts w:hint="eastAsia"/>
          <w:kern w:val="1"/>
          <w:szCs w:val="21"/>
          <w:u w:val="single"/>
          <w:lang w:eastAsia="zh-CN"/>
        </w:rPr>
        <w:t xml:space="preserve">                  </w:t>
      </w:r>
      <w:r>
        <w:rPr>
          <w:rFonts w:hint="eastAsia"/>
          <w:kern w:val="1"/>
          <w:szCs w:val="21"/>
          <w:lang w:eastAsia="zh-CN"/>
        </w:rPr>
        <w:t>；合同履行的方式：</w:t>
      </w:r>
      <w:r>
        <w:rPr>
          <w:rFonts w:hint="eastAsia"/>
          <w:kern w:val="1"/>
          <w:szCs w:val="21"/>
          <w:u w:val="single"/>
          <w:lang w:eastAsia="zh-CN"/>
        </w:rPr>
        <w:t>按照本合同约定</w:t>
      </w:r>
      <w:r>
        <w:rPr>
          <w:rFonts w:hint="eastAsia"/>
          <w:kern w:val="1"/>
          <w:szCs w:val="21"/>
          <w:lang w:eastAsia="zh-CN"/>
        </w:rPr>
        <w:t>。</w:t>
      </w:r>
    </w:p>
    <w:p w14:paraId="4345AB6B">
      <w:pPr>
        <w:suppressAutoHyphens/>
        <w:snapToGrid w:val="0"/>
        <w:spacing w:line="360" w:lineRule="auto"/>
        <w:ind w:firstLine="420" w:firstLineChars="200"/>
        <w:rPr>
          <w:rFonts w:hint="eastAsia"/>
          <w:kern w:val="1"/>
          <w:szCs w:val="21"/>
          <w:lang w:eastAsia="zh-CN"/>
        </w:rPr>
      </w:pPr>
      <w:r>
        <w:rPr>
          <w:rFonts w:hint="eastAsia"/>
          <w:kern w:val="1"/>
          <w:szCs w:val="21"/>
          <w:lang w:eastAsia="zh-CN"/>
        </w:rPr>
        <w:t>2. 合同经双方法定代表人或授权代表签字并加盖单位公章后生效。</w:t>
      </w:r>
    </w:p>
    <w:p w14:paraId="62CE000F">
      <w:pPr>
        <w:suppressAutoHyphens/>
        <w:snapToGrid w:val="0"/>
        <w:spacing w:line="360" w:lineRule="auto"/>
        <w:ind w:firstLine="420" w:firstLineChars="200"/>
        <w:rPr>
          <w:rFonts w:hint="eastAsia"/>
          <w:kern w:val="1"/>
          <w:szCs w:val="21"/>
          <w:lang w:eastAsia="zh-CN"/>
        </w:rPr>
      </w:pPr>
      <w:r>
        <w:rPr>
          <w:rFonts w:hint="eastAsia"/>
          <w:kern w:val="1"/>
          <w:szCs w:val="21"/>
          <w:lang w:eastAsia="zh-CN"/>
        </w:rPr>
        <w:t xml:space="preserve">3. </w:t>
      </w:r>
      <w:r>
        <w:rPr>
          <w:rFonts w:hint="eastAsia"/>
          <w:szCs w:val="21"/>
          <w:lang w:eastAsia="zh-CN"/>
        </w:rPr>
        <w:t>合同执行中涉及采购内容修改或补充的，按相关规定要求签订书面补充协议，并作为主合同不可分割的一部分</w:t>
      </w:r>
      <w:r>
        <w:rPr>
          <w:rFonts w:hint="eastAsia"/>
          <w:kern w:val="1"/>
          <w:szCs w:val="21"/>
          <w:lang w:eastAsia="zh-CN"/>
        </w:rPr>
        <w:t>。</w:t>
      </w:r>
    </w:p>
    <w:p w14:paraId="13E537A3">
      <w:pPr>
        <w:suppressAutoHyphens/>
        <w:snapToGrid w:val="0"/>
        <w:spacing w:line="360" w:lineRule="auto"/>
        <w:ind w:firstLine="420" w:firstLineChars="200"/>
        <w:rPr>
          <w:rFonts w:hint="eastAsia"/>
          <w:kern w:val="1"/>
          <w:szCs w:val="21"/>
          <w:lang w:eastAsia="zh-CN"/>
        </w:rPr>
      </w:pPr>
      <w:r>
        <w:rPr>
          <w:rFonts w:hint="eastAsia"/>
          <w:kern w:val="1"/>
          <w:szCs w:val="21"/>
          <w:lang w:eastAsia="zh-CN"/>
        </w:rPr>
        <w:t>4. 本合同未尽事宜，遵照《中华人民共和国民法典》有关条文执行。</w:t>
      </w:r>
    </w:p>
    <w:p w14:paraId="5B94292D">
      <w:pPr>
        <w:snapToGrid w:val="0"/>
        <w:spacing w:line="360" w:lineRule="auto"/>
        <w:ind w:firstLine="422" w:firstLineChars="200"/>
        <w:rPr>
          <w:rFonts w:hint="eastAsia"/>
          <w:b/>
          <w:szCs w:val="21"/>
          <w:lang w:eastAsia="zh-CN"/>
        </w:rPr>
      </w:pPr>
      <w:r>
        <w:rPr>
          <w:rFonts w:hint="eastAsia"/>
          <w:b/>
          <w:szCs w:val="21"/>
          <w:lang w:eastAsia="zh-CN"/>
        </w:rPr>
        <w:t>第十六条 合同的变更、终止与转让</w:t>
      </w:r>
    </w:p>
    <w:p w14:paraId="5DFC8FB1">
      <w:pPr>
        <w:suppressAutoHyphens/>
        <w:snapToGrid w:val="0"/>
        <w:spacing w:line="360" w:lineRule="auto"/>
        <w:ind w:firstLine="420" w:firstLineChars="200"/>
        <w:rPr>
          <w:rFonts w:hint="eastAsia"/>
          <w:kern w:val="1"/>
          <w:szCs w:val="21"/>
          <w:lang w:eastAsia="zh-CN"/>
        </w:rPr>
      </w:pPr>
      <w:r>
        <w:rPr>
          <w:rFonts w:hint="eastAsia"/>
          <w:kern w:val="1"/>
          <w:szCs w:val="21"/>
          <w:lang w:eastAsia="zh-CN"/>
        </w:rPr>
        <w:t>1.本合同一经签订，甲乙双方不得擅自变更、中止或终止。</w:t>
      </w:r>
    </w:p>
    <w:p w14:paraId="3D216C2B">
      <w:pPr>
        <w:suppressAutoHyphens/>
        <w:snapToGrid w:val="0"/>
        <w:spacing w:line="360" w:lineRule="auto"/>
        <w:ind w:firstLine="420" w:firstLineChars="200"/>
        <w:rPr>
          <w:rFonts w:hint="eastAsia"/>
          <w:kern w:val="1"/>
          <w:szCs w:val="21"/>
          <w:lang w:eastAsia="zh-CN"/>
        </w:rPr>
      </w:pPr>
      <w:r>
        <w:rPr>
          <w:rFonts w:hint="eastAsia"/>
          <w:kern w:val="1"/>
          <w:szCs w:val="21"/>
          <w:lang w:eastAsia="zh-CN"/>
        </w:rPr>
        <w:t>2.未经甲方书面同意，乙方不得擅自转让</w:t>
      </w:r>
      <w:r>
        <w:rPr>
          <w:rFonts w:hint="eastAsia"/>
          <w:kern w:val="1"/>
          <w:szCs w:val="21"/>
          <w:lang w:eastAsia="zh-Hans"/>
        </w:rPr>
        <w:t>、分包</w:t>
      </w:r>
      <w:r>
        <w:rPr>
          <w:rFonts w:hint="eastAsia"/>
          <w:kern w:val="1"/>
          <w:szCs w:val="21"/>
          <w:lang w:eastAsia="zh-CN"/>
        </w:rPr>
        <w:t>（无进口资格的乙方委托进口货物除外）其应履行的合同义务。</w:t>
      </w:r>
    </w:p>
    <w:p w14:paraId="463F728E">
      <w:pPr>
        <w:spacing w:line="360" w:lineRule="auto"/>
        <w:ind w:firstLine="422" w:firstLineChars="200"/>
        <w:rPr>
          <w:rFonts w:hint="eastAsia"/>
          <w:b/>
          <w:kern w:val="1"/>
          <w:szCs w:val="21"/>
          <w:lang w:eastAsia="zh-CN"/>
        </w:rPr>
      </w:pPr>
      <w:r>
        <w:rPr>
          <w:rFonts w:hint="eastAsia"/>
          <w:b/>
          <w:kern w:val="1"/>
          <w:szCs w:val="21"/>
          <w:lang w:eastAsia="zh-CN"/>
        </w:rPr>
        <w:t>第十七条 签订本合同依据</w:t>
      </w:r>
    </w:p>
    <w:p w14:paraId="0B1A8FA0">
      <w:pPr>
        <w:spacing w:line="360" w:lineRule="auto"/>
        <w:ind w:firstLine="420" w:firstLineChars="200"/>
        <w:rPr>
          <w:rFonts w:hint="eastAsia"/>
          <w:kern w:val="1"/>
          <w:szCs w:val="21"/>
          <w:lang w:eastAsia="zh-CN"/>
        </w:rPr>
      </w:pPr>
      <w:r>
        <w:rPr>
          <w:rFonts w:hint="eastAsia"/>
          <w:kern w:val="1"/>
          <w:szCs w:val="21"/>
          <w:lang w:eastAsia="zh-CN"/>
        </w:rPr>
        <w:t>1.招标文件；</w:t>
      </w:r>
    </w:p>
    <w:p w14:paraId="15049F08">
      <w:pPr>
        <w:spacing w:line="360" w:lineRule="auto"/>
        <w:ind w:firstLine="420" w:firstLineChars="200"/>
        <w:rPr>
          <w:rFonts w:hint="eastAsia"/>
          <w:kern w:val="1"/>
          <w:szCs w:val="21"/>
          <w:lang w:eastAsia="zh-CN"/>
        </w:rPr>
      </w:pPr>
      <w:r>
        <w:rPr>
          <w:rFonts w:hint="eastAsia"/>
          <w:kern w:val="1"/>
          <w:szCs w:val="21"/>
          <w:lang w:eastAsia="zh-CN"/>
        </w:rPr>
        <w:t>2.乙方提供的投标文件；</w:t>
      </w:r>
    </w:p>
    <w:p w14:paraId="6D55A855">
      <w:pPr>
        <w:spacing w:line="360" w:lineRule="auto"/>
        <w:ind w:firstLine="420" w:firstLineChars="200"/>
        <w:rPr>
          <w:rFonts w:hint="eastAsia"/>
          <w:kern w:val="1"/>
          <w:szCs w:val="21"/>
          <w:lang w:eastAsia="zh-CN"/>
        </w:rPr>
      </w:pPr>
      <w:r>
        <w:rPr>
          <w:rFonts w:hint="eastAsia"/>
          <w:kern w:val="1"/>
          <w:szCs w:val="21"/>
          <w:lang w:eastAsia="zh-CN"/>
        </w:rPr>
        <w:t>3.中标通知书。</w:t>
      </w:r>
    </w:p>
    <w:p w14:paraId="0A27A816">
      <w:pPr>
        <w:snapToGrid w:val="0"/>
        <w:spacing w:line="360" w:lineRule="auto"/>
        <w:ind w:firstLine="422" w:firstLineChars="200"/>
        <w:rPr>
          <w:rFonts w:hint="eastAsia"/>
          <w:b/>
          <w:szCs w:val="21"/>
          <w:lang w:eastAsia="zh-CN"/>
        </w:rPr>
      </w:pPr>
      <w:r>
        <w:rPr>
          <w:rFonts w:hint="eastAsia"/>
          <w:b/>
          <w:bCs/>
          <w:kern w:val="1"/>
          <w:szCs w:val="21"/>
          <w:lang w:eastAsia="zh-CN"/>
        </w:rPr>
        <w:t>上述合同文件互相补充和解释。如果合同文件之间存在矛盾或者不一致之处，首先以本合同为准，其次，以上述文件的排列顺序在先者为准。</w:t>
      </w:r>
    </w:p>
    <w:p w14:paraId="2E681A5A">
      <w:pPr>
        <w:snapToGrid w:val="0"/>
        <w:spacing w:line="360" w:lineRule="auto"/>
        <w:ind w:firstLine="422" w:firstLineChars="200"/>
        <w:rPr>
          <w:rFonts w:hint="eastAsia"/>
          <w:b/>
          <w:szCs w:val="21"/>
          <w:lang w:eastAsia="zh-CN"/>
        </w:rPr>
      </w:pPr>
      <w:r>
        <w:rPr>
          <w:rFonts w:hint="eastAsia"/>
          <w:b/>
          <w:szCs w:val="21"/>
          <w:lang w:eastAsia="zh-CN"/>
        </w:rPr>
        <w:t>第十八条 通知</w:t>
      </w:r>
    </w:p>
    <w:p w14:paraId="6AC7B7AC">
      <w:pPr>
        <w:snapToGrid w:val="0"/>
        <w:spacing w:line="360" w:lineRule="auto"/>
        <w:ind w:firstLine="420" w:firstLineChars="200"/>
        <w:rPr>
          <w:rFonts w:hint="eastAsia"/>
          <w:bCs/>
          <w:szCs w:val="21"/>
          <w:lang w:eastAsia="zh-CN"/>
        </w:rPr>
      </w:pPr>
      <w:r>
        <w:rPr>
          <w:rFonts w:hint="eastAsia"/>
          <w:bCs/>
          <w:szCs w:val="21"/>
          <w:lang w:eastAsia="zh-CN"/>
        </w:rPr>
        <w:t>双方确认本合同落款通讯地址作为文书送达地址，该通讯地址适用于包括双方合同履行过程中的各类通知、协议等文件以及就合同发生争议进入诉讼、仲裁程序阶段法律文书的送达。通讯地址需要变更时应当提前15个工作日书面通知对方。因提供或者确认的通讯地址不准确、通讯地址变更后未及时依程序告知对方或受送达方拒绝签收等原因，导致文书未能被实际接收的，邮寄送达的，以文书退回之日视为送达之日，电子邮件、传真送达的，一经发送，即视为送达。</w:t>
      </w:r>
    </w:p>
    <w:p w14:paraId="0ADE3E8B">
      <w:pPr>
        <w:snapToGrid w:val="0"/>
        <w:spacing w:line="360" w:lineRule="auto"/>
        <w:ind w:firstLine="422" w:firstLineChars="200"/>
        <w:rPr>
          <w:rFonts w:hint="eastAsia"/>
          <w:bCs/>
          <w:szCs w:val="21"/>
          <w:lang w:eastAsia="zh-CN"/>
        </w:rPr>
      </w:pPr>
      <w:r>
        <w:rPr>
          <w:rFonts w:hint="eastAsia"/>
          <w:b/>
          <w:szCs w:val="21"/>
          <w:lang w:eastAsia="zh-CN"/>
        </w:rPr>
        <w:t>第十九条</w:t>
      </w:r>
      <w:r>
        <w:rPr>
          <w:rFonts w:hint="eastAsia"/>
          <w:bCs/>
          <w:szCs w:val="21"/>
          <w:lang w:eastAsia="zh-CN"/>
        </w:rPr>
        <w:t xml:space="preserve"> </w:t>
      </w:r>
      <w:r>
        <w:rPr>
          <w:rFonts w:hint="eastAsia"/>
          <w:kern w:val="1"/>
          <w:szCs w:val="21"/>
          <w:lang w:eastAsia="zh-CN"/>
        </w:rPr>
        <w:t>本合同一式   份，具有同等法律效力。甲方   份，乙方   份。合同附件是合同的不可分割的组成部分，与合同具有同等法律效力。</w:t>
      </w:r>
    </w:p>
    <w:p w14:paraId="0B12141F">
      <w:pPr>
        <w:adjustRightInd w:val="0"/>
        <w:spacing w:line="420" w:lineRule="atLeast"/>
        <w:textAlignment w:val="baseline"/>
        <w:rPr>
          <w:rFonts w:hint="eastAsia"/>
          <w:bCs/>
          <w:szCs w:val="21"/>
          <w:lang w:eastAsia="zh-CN"/>
        </w:rPr>
      </w:pPr>
      <w:r>
        <w:rPr>
          <w:rFonts w:hint="eastAsia"/>
          <w:bCs/>
          <w:szCs w:val="21"/>
          <w:lang w:eastAsia="zh-CN"/>
        </w:rPr>
        <w:t>（本页无正文，为签章页）</w:t>
      </w:r>
    </w:p>
    <w:p w14:paraId="4F9A9086">
      <w:pPr>
        <w:spacing w:after="120"/>
        <w:rPr>
          <w:rFonts w:hint="eastAsia"/>
          <w:lang w:eastAsia="zh-CN"/>
        </w:rPr>
      </w:pPr>
    </w:p>
    <w:tbl>
      <w:tblPr>
        <w:tblStyle w:val="3"/>
        <w:tblW w:w="5000"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DC3F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trPr>
        <w:tc>
          <w:tcPr>
            <w:tcW w:w="2500" w:type="pct"/>
            <w:vAlign w:val="center"/>
          </w:tcPr>
          <w:p w14:paraId="77A74569">
            <w:pPr>
              <w:snapToGrid w:val="0"/>
              <w:spacing w:line="360" w:lineRule="auto"/>
              <w:rPr>
                <w:rFonts w:hint="eastAsia"/>
                <w:szCs w:val="21"/>
              </w:rPr>
            </w:pPr>
            <w:r>
              <w:rPr>
                <w:rFonts w:hint="eastAsia"/>
                <w:szCs w:val="21"/>
              </w:rPr>
              <w:t>甲方（章）</w:t>
            </w:r>
          </w:p>
          <w:p w14:paraId="671EBA17">
            <w:pPr>
              <w:snapToGrid w:val="0"/>
              <w:spacing w:line="360" w:lineRule="auto"/>
              <w:rPr>
                <w:rFonts w:hint="eastAsia"/>
                <w:szCs w:val="21"/>
              </w:rPr>
            </w:pPr>
          </w:p>
          <w:p w14:paraId="20D5E265">
            <w:pPr>
              <w:snapToGrid w:val="0"/>
              <w:spacing w:line="360" w:lineRule="auto"/>
              <w:ind w:firstLine="945" w:firstLineChars="450"/>
              <w:jc w:val="right"/>
              <w:rPr>
                <w:rFonts w:hint="eastAsia"/>
                <w:szCs w:val="21"/>
              </w:rPr>
            </w:pPr>
            <w:r>
              <w:rPr>
                <w:rFonts w:hint="eastAsia"/>
                <w:szCs w:val="21"/>
              </w:rPr>
              <w:t>年   月   日</w:t>
            </w:r>
          </w:p>
        </w:tc>
        <w:tc>
          <w:tcPr>
            <w:tcW w:w="2500" w:type="pct"/>
            <w:vAlign w:val="center"/>
          </w:tcPr>
          <w:p w14:paraId="485AEE98">
            <w:pPr>
              <w:snapToGrid w:val="0"/>
              <w:spacing w:line="360" w:lineRule="auto"/>
              <w:rPr>
                <w:rFonts w:hint="eastAsia"/>
                <w:szCs w:val="21"/>
              </w:rPr>
            </w:pPr>
            <w:r>
              <w:rPr>
                <w:rFonts w:hint="eastAsia"/>
                <w:szCs w:val="21"/>
              </w:rPr>
              <w:t xml:space="preserve">乙方（章）               </w:t>
            </w:r>
          </w:p>
          <w:p w14:paraId="63801602">
            <w:pPr>
              <w:snapToGrid w:val="0"/>
              <w:spacing w:line="360" w:lineRule="auto"/>
              <w:rPr>
                <w:rFonts w:hint="eastAsia"/>
                <w:szCs w:val="21"/>
              </w:rPr>
            </w:pPr>
          </w:p>
          <w:p w14:paraId="43D92DEF">
            <w:pPr>
              <w:snapToGrid w:val="0"/>
              <w:spacing w:line="360" w:lineRule="auto"/>
              <w:jc w:val="right"/>
              <w:rPr>
                <w:rFonts w:hint="eastAsia"/>
                <w:szCs w:val="21"/>
              </w:rPr>
            </w:pPr>
            <w:r>
              <w:rPr>
                <w:rFonts w:hint="eastAsia"/>
                <w:szCs w:val="21"/>
              </w:rPr>
              <w:t>年   月   日</w:t>
            </w:r>
          </w:p>
        </w:tc>
      </w:tr>
      <w:tr w14:paraId="11806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60E2040D">
            <w:pPr>
              <w:snapToGrid w:val="0"/>
              <w:spacing w:line="360" w:lineRule="auto"/>
              <w:rPr>
                <w:rFonts w:hint="eastAsia"/>
                <w:szCs w:val="21"/>
              </w:rPr>
            </w:pPr>
            <w:r>
              <w:rPr>
                <w:rFonts w:hint="eastAsia"/>
                <w:szCs w:val="21"/>
              </w:rPr>
              <w:t>单位地址：</w:t>
            </w:r>
            <w:r>
              <w:rPr>
                <w:szCs w:val="21"/>
              </w:rPr>
              <w:t xml:space="preserve"> </w:t>
            </w:r>
          </w:p>
        </w:tc>
        <w:tc>
          <w:tcPr>
            <w:tcW w:w="2500" w:type="pct"/>
            <w:vAlign w:val="center"/>
          </w:tcPr>
          <w:p w14:paraId="59C263ED">
            <w:pPr>
              <w:snapToGrid w:val="0"/>
              <w:spacing w:line="360" w:lineRule="auto"/>
              <w:rPr>
                <w:rFonts w:hint="eastAsia"/>
                <w:szCs w:val="21"/>
              </w:rPr>
            </w:pPr>
            <w:r>
              <w:rPr>
                <w:rFonts w:hint="eastAsia"/>
                <w:szCs w:val="21"/>
              </w:rPr>
              <w:t xml:space="preserve">单位地址： </w:t>
            </w:r>
          </w:p>
        </w:tc>
      </w:tr>
      <w:tr w14:paraId="22720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0646CA55">
            <w:pPr>
              <w:snapToGrid w:val="0"/>
              <w:spacing w:line="360" w:lineRule="auto"/>
              <w:rPr>
                <w:rFonts w:hint="eastAsia"/>
                <w:szCs w:val="21"/>
              </w:rPr>
            </w:pPr>
            <w:r>
              <w:rPr>
                <w:rFonts w:hint="eastAsia"/>
                <w:szCs w:val="21"/>
              </w:rPr>
              <w:t>法定代表人：</w:t>
            </w:r>
          </w:p>
        </w:tc>
        <w:tc>
          <w:tcPr>
            <w:tcW w:w="2500" w:type="pct"/>
            <w:vAlign w:val="center"/>
          </w:tcPr>
          <w:p w14:paraId="64CCDE1E">
            <w:pPr>
              <w:snapToGrid w:val="0"/>
              <w:spacing w:line="360" w:lineRule="auto"/>
              <w:rPr>
                <w:rFonts w:hint="eastAsia"/>
                <w:szCs w:val="21"/>
                <w:lang w:eastAsia="zh-CN"/>
              </w:rPr>
            </w:pPr>
            <w:r>
              <w:rPr>
                <w:rFonts w:hint="eastAsia"/>
                <w:szCs w:val="21"/>
                <w:lang w:eastAsia="zh-CN"/>
              </w:rPr>
              <w:t>法定代表人（负责人或自然人）：</w:t>
            </w:r>
          </w:p>
        </w:tc>
      </w:tr>
      <w:tr w14:paraId="65B2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0C06D629">
            <w:pPr>
              <w:snapToGrid w:val="0"/>
              <w:spacing w:line="360" w:lineRule="auto"/>
              <w:rPr>
                <w:rFonts w:hint="eastAsia"/>
                <w:szCs w:val="21"/>
              </w:rPr>
            </w:pPr>
            <w:r>
              <w:rPr>
                <w:rFonts w:hint="eastAsia"/>
                <w:szCs w:val="21"/>
              </w:rPr>
              <w:t>委托代理人：</w:t>
            </w:r>
          </w:p>
        </w:tc>
        <w:tc>
          <w:tcPr>
            <w:tcW w:w="2500" w:type="pct"/>
            <w:vAlign w:val="center"/>
          </w:tcPr>
          <w:p w14:paraId="7D529F35">
            <w:pPr>
              <w:snapToGrid w:val="0"/>
              <w:spacing w:line="360" w:lineRule="auto"/>
              <w:rPr>
                <w:rFonts w:hint="eastAsia"/>
                <w:szCs w:val="21"/>
              </w:rPr>
            </w:pPr>
            <w:r>
              <w:rPr>
                <w:rFonts w:hint="eastAsia"/>
                <w:szCs w:val="21"/>
              </w:rPr>
              <w:t>委托代理人</w:t>
            </w:r>
          </w:p>
        </w:tc>
      </w:tr>
      <w:tr w14:paraId="1CC49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15068F91">
            <w:pPr>
              <w:snapToGrid w:val="0"/>
              <w:spacing w:line="360" w:lineRule="auto"/>
              <w:rPr>
                <w:rFonts w:hint="eastAsia"/>
                <w:szCs w:val="21"/>
              </w:rPr>
            </w:pPr>
            <w:r>
              <w:rPr>
                <w:rFonts w:hint="eastAsia"/>
                <w:szCs w:val="21"/>
              </w:rPr>
              <w:t>电话：</w:t>
            </w:r>
          </w:p>
        </w:tc>
        <w:tc>
          <w:tcPr>
            <w:tcW w:w="2500" w:type="pct"/>
            <w:vAlign w:val="center"/>
          </w:tcPr>
          <w:p w14:paraId="37BE5B62">
            <w:pPr>
              <w:snapToGrid w:val="0"/>
              <w:spacing w:line="360" w:lineRule="auto"/>
              <w:rPr>
                <w:rFonts w:hint="eastAsia"/>
                <w:szCs w:val="21"/>
              </w:rPr>
            </w:pPr>
            <w:r>
              <w:rPr>
                <w:rFonts w:hint="eastAsia"/>
                <w:szCs w:val="21"/>
              </w:rPr>
              <w:t>电话：</w:t>
            </w:r>
          </w:p>
        </w:tc>
      </w:tr>
      <w:tr w14:paraId="1DD78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3BF3C5EA">
            <w:pPr>
              <w:snapToGrid w:val="0"/>
              <w:spacing w:line="360" w:lineRule="auto"/>
              <w:rPr>
                <w:rFonts w:hint="eastAsia"/>
                <w:szCs w:val="21"/>
              </w:rPr>
            </w:pPr>
            <w:r>
              <w:rPr>
                <w:rFonts w:hint="eastAsia"/>
                <w:szCs w:val="21"/>
              </w:rPr>
              <w:t xml:space="preserve">电子邮箱： </w:t>
            </w:r>
          </w:p>
        </w:tc>
        <w:tc>
          <w:tcPr>
            <w:tcW w:w="2500" w:type="pct"/>
            <w:vAlign w:val="center"/>
          </w:tcPr>
          <w:p w14:paraId="11FC79C1">
            <w:pPr>
              <w:snapToGrid w:val="0"/>
              <w:spacing w:line="360" w:lineRule="auto"/>
              <w:rPr>
                <w:rFonts w:hint="eastAsia"/>
                <w:szCs w:val="21"/>
              </w:rPr>
            </w:pPr>
            <w:r>
              <w:rPr>
                <w:rFonts w:hint="eastAsia"/>
                <w:szCs w:val="21"/>
              </w:rPr>
              <w:t>电子邮箱：</w:t>
            </w:r>
          </w:p>
        </w:tc>
      </w:tr>
      <w:tr w14:paraId="6B522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70B46A50">
            <w:pPr>
              <w:snapToGrid w:val="0"/>
              <w:spacing w:line="360" w:lineRule="auto"/>
              <w:rPr>
                <w:rFonts w:hint="eastAsia"/>
                <w:szCs w:val="21"/>
              </w:rPr>
            </w:pPr>
            <w:r>
              <w:rPr>
                <w:rFonts w:hint="eastAsia"/>
                <w:szCs w:val="21"/>
              </w:rPr>
              <w:t>开户银行：</w:t>
            </w:r>
            <w:r>
              <w:rPr>
                <w:szCs w:val="21"/>
              </w:rPr>
              <w:t xml:space="preserve"> </w:t>
            </w:r>
          </w:p>
        </w:tc>
        <w:tc>
          <w:tcPr>
            <w:tcW w:w="2500" w:type="pct"/>
            <w:vAlign w:val="center"/>
          </w:tcPr>
          <w:p w14:paraId="545F6929">
            <w:pPr>
              <w:snapToGrid w:val="0"/>
              <w:spacing w:line="360" w:lineRule="auto"/>
              <w:rPr>
                <w:rFonts w:hint="eastAsia"/>
                <w:szCs w:val="21"/>
              </w:rPr>
            </w:pPr>
            <w:r>
              <w:rPr>
                <w:rFonts w:hint="eastAsia"/>
                <w:szCs w:val="21"/>
              </w:rPr>
              <w:t xml:space="preserve">开户银行： </w:t>
            </w:r>
          </w:p>
        </w:tc>
      </w:tr>
      <w:tr w14:paraId="35AD2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4A5CA785">
            <w:pPr>
              <w:spacing w:line="360" w:lineRule="auto"/>
              <w:rPr>
                <w:rFonts w:hint="eastAsia"/>
                <w:szCs w:val="21"/>
              </w:rPr>
            </w:pPr>
            <w:r>
              <w:rPr>
                <w:rFonts w:hint="eastAsia"/>
                <w:szCs w:val="21"/>
              </w:rPr>
              <w:t>账号：</w:t>
            </w:r>
          </w:p>
        </w:tc>
        <w:tc>
          <w:tcPr>
            <w:tcW w:w="2500" w:type="pct"/>
            <w:vAlign w:val="center"/>
          </w:tcPr>
          <w:p w14:paraId="5F936C43">
            <w:pPr>
              <w:snapToGrid w:val="0"/>
              <w:spacing w:line="360" w:lineRule="auto"/>
              <w:rPr>
                <w:rFonts w:hint="eastAsia"/>
                <w:szCs w:val="21"/>
              </w:rPr>
            </w:pPr>
            <w:r>
              <w:rPr>
                <w:rFonts w:hint="eastAsia"/>
                <w:szCs w:val="21"/>
              </w:rPr>
              <w:t>账号：</w:t>
            </w:r>
          </w:p>
        </w:tc>
      </w:tr>
      <w:tr w14:paraId="523D0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4E287157">
            <w:pPr>
              <w:snapToGrid w:val="0"/>
              <w:spacing w:line="360" w:lineRule="auto"/>
              <w:rPr>
                <w:rFonts w:hint="eastAsia"/>
                <w:szCs w:val="21"/>
              </w:rPr>
            </w:pPr>
            <w:r>
              <w:rPr>
                <w:rFonts w:hint="eastAsia"/>
                <w:szCs w:val="21"/>
              </w:rPr>
              <w:t>统一社会信用代码：</w:t>
            </w:r>
          </w:p>
        </w:tc>
        <w:tc>
          <w:tcPr>
            <w:tcW w:w="2500" w:type="pct"/>
            <w:vAlign w:val="center"/>
          </w:tcPr>
          <w:p w14:paraId="0090E8BB">
            <w:pPr>
              <w:snapToGrid w:val="0"/>
              <w:spacing w:line="360" w:lineRule="auto"/>
              <w:rPr>
                <w:rFonts w:hint="eastAsia"/>
                <w:szCs w:val="21"/>
              </w:rPr>
            </w:pPr>
            <w:r>
              <w:rPr>
                <w:rFonts w:hint="eastAsia"/>
                <w:szCs w:val="21"/>
              </w:rPr>
              <w:t>统一社会信用代码：</w:t>
            </w:r>
          </w:p>
        </w:tc>
      </w:tr>
      <w:tr w14:paraId="35A79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500" w:type="pct"/>
            <w:vAlign w:val="center"/>
          </w:tcPr>
          <w:p w14:paraId="09DEE5A6">
            <w:pPr>
              <w:snapToGrid w:val="0"/>
              <w:spacing w:line="360" w:lineRule="auto"/>
              <w:rPr>
                <w:rFonts w:hint="eastAsia"/>
                <w:szCs w:val="21"/>
              </w:rPr>
            </w:pPr>
            <w:r>
              <w:rPr>
                <w:rFonts w:hint="eastAsia"/>
                <w:szCs w:val="21"/>
              </w:rPr>
              <w:t>邮政编码：</w:t>
            </w:r>
          </w:p>
        </w:tc>
        <w:tc>
          <w:tcPr>
            <w:tcW w:w="2500" w:type="pct"/>
            <w:vAlign w:val="center"/>
          </w:tcPr>
          <w:p w14:paraId="471CC468">
            <w:pPr>
              <w:snapToGrid w:val="0"/>
              <w:spacing w:line="360" w:lineRule="auto"/>
              <w:rPr>
                <w:rFonts w:hint="eastAsia"/>
                <w:szCs w:val="21"/>
              </w:rPr>
            </w:pPr>
            <w:r>
              <w:rPr>
                <w:rFonts w:hint="eastAsia"/>
                <w:szCs w:val="21"/>
              </w:rPr>
              <w:t>邮政编码：</w:t>
            </w:r>
          </w:p>
        </w:tc>
      </w:tr>
      <w:bookmarkEnd w:id="0"/>
    </w:tbl>
    <w:p w14:paraId="7A8AA473">
      <w:pPr>
        <w:widowControl/>
        <w:rPr>
          <w:rFonts w:hint="eastAsia"/>
          <w:szCs w:val="21"/>
        </w:rPr>
      </w:pPr>
      <w:r>
        <w:br w:type="page"/>
      </w:r>
    </w:p>
    <w:p w14:paraId="33D3C27E">
      <w:pPr>
        <w:spacing w:before="120" w:line="320" w:lineRule="atLeast"/>
        <w:rPr>
          <w:rFonts w:hint="eastAsia"/>
          <w:b/>
          <w:bCs/>
          <w:szCs w:val="21"/>
          <w:lang w:eastAsia="zh-CN"/>
        </w:rPr>
      </w:pPr>
      <w:r>
        <w:rPr>
          <w:b/>
          <w:bCs/>
          <w:szCs w:val="21"/>
          <w:lang w:eastAsia="zh-CN"/>
        </w:rPr>
        <w:t>合同附件1</w:t>
      </w:r>
    </w:p>
    <w:p w14:paraId="5DD93935">
      <w:pPr>
        <w:snapToGrid w:val="0"/>
        <w:spacing w:line="360" w:lineRule="exact"/>
        <w:jc w:val="center"/>
        <w:rPr>
          <w:rFonts w:hint="eastAsia"/>
          <w:b/>
          <w:bCs/>
          <w:szCs w:val="21"/>
          <w:lang w:eastAsia="zh-CN"/>
        </w:rPr>
      </w:pPr>
    </w:p>
    <w:p w14:paraId="7174937F">
      <w:pPr>
        <w:snapToGrid w:val="0"/>
        <w:spacing w:line="360" w:lineRule="exact"/>
        <w:jc w:val="center"/>
        <w:rPr>
          <w:rFonts w:hint="eastAsia"/>
          <w:b/>
          <w:bCs/>
          <w:szCs w:val="21"/>
          <w:lang w:eastAsia="zh-CN"/>
        </w:rPr>
      </w:pPr>
      <w:r>
        <w:rPr>
          <w:rFonts w:hint="eastAsia"/>
          <w:b/>
          <w:bCs/>
          <w:szCs w:val="21"/>
          <w:lang w:eastAsia="zh-CN"/>
        </w:rPr>
        <w:t>验收方案</w:t>
      </w:r>
    </w:p>
    <w:p w14:paraId="204B68E6">
      <w:pPr>
        <w:widowControl/>
        <w:rPr>
          <w:rFonts w:hint="eastAsia"/>
          <w:szCs w:val="21"/>
          <w:lang w:eastAsia="zh-CN"/>
        </w:rPr>
      </w:pPr>
    </w:p>
    <w:p w14:paraId="0803F97A">
      <w:pPr>
        <w:pStyle w:val="7"/>
        <w:ind w:firstLineChars="0"/>
        <w:rPr>
          <w:rFonts w:ascii="Times New Roman" w:hAnsi="Times New Roman" w:eastAsia="宋体"/>
          <w:kern w:val="2"/>
          <w:sz w:val="21"/>
          <w:szCs w:val="21"/>
          <w:lang w:eastAsia="zh-CN"/>
        </w:rPr>
      </w:pPr>
    </w:p>
    <w:p w14:paraId="1B868075">
      <w:pPr>
        <w:spacing w:before="120" w:line="320" w:lineRule="exact"/>
        <w:rPr>
          <w:rFonts w:hint="eastAsia"/>
          <w:b/>
          <w:bCs/>
          <w:szCs w:val="21"/>
          <w:lang w:eastAsia="zh-CN"/>
        </w:rPr>
      </w:pPr>
      <w:r>
        <w:rPr>
          <w:rFonts w:hint="eastAsia"/>
          <w:b/>
          <w:bCs/>
          <w:szCs w:val="21"/>
          <w:lang w:eastAsia="zh-CN"/>
        </w:rPr>
        <w:t>1.验收工作参加人员</w:t>
      </w:r>
    </w:p>
    <w:p w14:paraId="11FAD8C1">
      <w:pPr>
        <w:spacing w:before="120" w:line="320" w:lineRule="exact"/>
        <w:rPr>
          <w:rFonts w:hint="eastAsia"/>
          <w:szCs w:val="21"/>
          <w:lang w:eastAsia="zh-CN"/>
        </w:rPr>
      </w:pPr>
      <w:r>
        <w:rPr>
          <w:rFonts w:hint="eastAsia"/>
          <w:b/>
          <w:bCs/>
          <w:szCs w:val="21"/>
          <w:lang w:eastAsia="zh-CN"/>
        </w:rPr>
        <w:t>1.1验收主体单位</w:t>
      </w:r>
    </w:p>
    <w:p w14:paraId="5F5A2C31">
      <w:pPr>
        <w:spacing w:before="120" w:line="320" w:lineRule="exact"/>
        <w:ind w:firstLine="420" w:firstLineChars="200"/>
        <w:rPr>
          <w:rFonts w:hint="eastAsia"/>
          <w:szCs w:val="21"/>
          <w:u w:val="single"/>
          <w:lang w:eastAsia="zh-CN"/>
        </w:rPr>
      </w:pPr>
      <w:r>
        <w:rPr>
          <w:rStyle w:val="5"/>
          <w:rFonts w:hint="eastAsia"/>
          <w:u w:val="single"/>
          <w:lang w:eastAsia="zh-CN"/>
        </w:rPr>
        <w:t>采购人</w:t>
      </w:r>
      <w:r>
        <w:rPr>
          <w:rStyle w:val="5"/>
          <w:rFonts w:hint="eastAsia"/>
          <w:lang w:eastAsia="zh-CN"/>
        </w:rPr>
        <w:t>（如委托第三方机构签订，应注明收费方式）</w:t>
      </w:r>
    </w:p>
    <w:p w14:paraId="215E49F7">
      <w:pPr>
        <w:spacing w:before="120" w:line="320" w:lineRule="exact"/>
        <w:rPr>
          <w:rFonts w:hint="eastAsia"/>
          <w:szCs w:val="21"/>
          <w:lang w:eastAsia="zh-CN"/>
        </w:rPr>
      </w:pPr>
      <w:r>
        <w:rPr>
          <w:rFonts w:hint="eastAsia"/>
          <w:b/>
          <w:bCs/>
          <w:szCs w:val="21"/>
          <w:lang w:eastAsia="zh-CN"/>
        </w:rPr>
        <w:t>1.2验收参加人员</w:t>
      </w:r>
    </w:p>
    <w:p w14:paraId="39484D5E">
      <w:pPr>
        <w:spacing w:before="120" w:line="320" w:lineRule="exact"/>
        <w:ind w:firstLine="420" w:firstLineChars="200"/>
        <w:rPr>
          <w:rFonts w:hint="eastAsia"/>
          <w:szCs w:val="21"/>
          <w:u w:val="single"/>
          <w:lang w:eastAsia="zh-CN"/>
        </w:rPr>
      </w:pPr>
      <w:r>
        <w:rPr>
          <w:rFonts w:hint="eastAsia"/>
          <w:lang w:eastAsia="zh-CN"/>
        </w:rPr>
        <w:t>采购人代表、委托机构代表、中标供应商代表及采购人邀请的其他人员</w:t>
      </w:r>
    </w:p>
    <w:p w14:paraId="25CCD150">
      <w:pPr>
        <w:spacing w:before="120" w:line="320" w:lineRule="exact"/>
        <w:rPr>
          <w:rFonts w:hint="eastAsia"/>
          <w:b/>
          <w:bCs/>
          <w:szCs w:val="21"/>
          <w:lang w:eastAsia="zh-CN"/>
        </w:rPr>
      </w:pPr>
      <w:r>
        <w:rPr>
          <w:rFonts w:hint="eastAsia"/>
          <w:b/>
          <w:bCs/>
          <w:szCs w:val="21"/>
          <w:lang w:eastAsia="zh-CN"/>
        </w:rPr>
        <w:t>2.验收时间</w:t>
      </w:r>
    </w:p>
    <w:p w14:paraId="3D86AC73">
      <w:pPr>
        <w:spacing w:before="120" w:line="320" w:lineRule="exact"/>
        <w:rPr>
          <w:rFonts w:hint="eastAsia"/>
          <w:szCs w:val="21"/>
          <w:lang w:eastAsia="zh-CN"/>
        </w:rPr>
      </w:pPr>
      <w:r>
        <w:rPr>
          <w:rFonts w:hint="eastAsia"/>
          <w:szCs w:val="21"/>
          <w:lang w:eastAsia="zh-CN"/>
        </w:rPr>
        <w:t>20XX年XX月XX日</w:t>
      </w:r>
    </w:p>
    <w:p w14:paraId="72928F11">
      <w:pPr>
        <w:spacing w:before="120" w:line="320" w:lineRule="exact"/>
        <w:rPr>
          <w:rFonts w:hint="eastAsia"/>
          <w:b/>
          <w:bCs/>
          <w:szCs w:val="21"/>
          <w:lang w:eastAsia="zh-CN"/>
        </w:rPr>
      </w:pPr>
      <w:r>
        <w:rPr>
          <w:rFonts w:hint="eastAsia"/>
          <w:b/>
          <w:bCs/>
          <w:szCs w:val="21"/>
          <w:lang w:eastAsia="zh-CN"/>
        </w:rPr>
        <w:t>3.验收地点</w:t>
      </w:r>
    </w:p>
    <w:p w14:paraId="7B877077">
      <w:pPr>
        <w:spacing w:before="120" w:line="320" w:lineRule="exact"/>
        <w:rPr>
          <w:rFonts w:hint="eastAsia"/>
          <w:szCs w:val="21"/>
          <w:lang w:eastAsia="zh-CN"/>
        </w:rPr>
      </w:pPr>
      <w:r>
        <w:rPr>
          <w:rFonts w:hint="eastAsia"/>
          <w:szCs w:val="21"/>
          <w:lang w:eastAsia="zh-CN"/>
        </w:rPr>
        <w:t>XX市XX区XX路XX号</w:t>
      </w:r>
    </w:p>
    <w:p w14:paraId="15F277A6">
      <w:pPr>
        <w:spacing w:before="120" w:line="320" w:lineRule="exact"/>
        <w:rPr>
          <w:rFonts w:hint="eastAsia"/>
          <w:b/>
          <w:bCs/>
          <w:szCs w:val="21"/>
          <w:lang w:eastAsia="zh-CN"/>
        </w:rPr>
      </w:pPr>
      <w:r>
        <w:rPr>
          <w:rFonts w:hint="eastAsia"/>
          <w:b/>
          <w:bCs/>
          <w:szCs w:val="21"/>
          <w:lang w:eastAsia="zh-CN"/>
        </w:rPr>
        <w:t>4.验收方式</w:t>
      </w:r>
    </w:p>
    <w:p w14:paraId="11E4DCDF">
      <w:pPr>
        <w:spacing w:before="120" w:line="320" w:lineRule="exact"/>
        <w:rPr>
          <w:rFonts w:hint="eastAsia"/>
          <w:b/>
          <w:bCs/>
          <w:szCs w:val="21"/>
          <w:lang w:eastAsia="zh-CN"/>
        </w:rPr>
      </w:pPr>
      <w:r>
        <w:rPr>
          <w:rFonts w:hint="eastAsia"/>
          <w:szCs w:val="21"/>
          <w:u w:val="single"/>
          <w:lang w:eastAsia="zh-CN"/>
        </w:rPr>
        <w:t>采购人自行验收</w:t>
      </w:r>
    </w:p>
    <w:p w14:paraId="13FA0805">
      <w:pPr>
        <w:spacing w:before="120" w:line="320" w:lineRule="exact"/>
        <w:rPr>
          <w:rFonts w:hint="eastAsia"/>
          <w:b/>
          <w:bCs/>
          <w:szCs w:val="21"/>
          <w:lang w:eastAsia="zh-CN"/>
        </w:rPr>
      </w:pPr>
      <w:r>
        <w:rPr>
          <w:rFonts w:hint="eastAsia"/>
          <w:b/>
          <w:bCs/>
          <w:szCs w:val="21"/>
          <w:lang w:eastAsia="zh-CN"/>
        </w:rPr>
        <w:t>5.验收程序</w:t>
      </w:r>
    </w:p>
    <w:p w14:paraId="7A125359">
      <w:pPr>
        <w:spacing w:before="120" w:line="320" w:lineRule="exact"/>
        <w:rPr>
          <w:rFonts w:hint="eastAsia"/>
          <w:b/>
          <w:bCs/>
          <w:szCs w:val="21"/>
          <w:lang w:eastAsia="zh-CN"/>
        </w:rPr>
      </w:pPr>
      <w:r>
        <w:rPr>
          <w:rFonts w:hint="eastAsia"/>
          <w:b/>
          <w:bCs/>
          <w:szCs w:val="21"/>
          <w:lang w:eastAsia="zh-CN"/>
        </w:rPr>
        <w:t>5.1成立验收小组</w:t>
      </w:r>
    </w:p>
    <w:p w14:paraId="2C146BA1">
      <w:pPr>
        <w:spacing w:before="120" w:line="320" w:lineRule="exact"/>
        <w:rPr>
          <w:rFonts w:hint="eastAsia"/>
          <w:b/>
          <w:bCs/>
          <w:szCs w:val="21"/>
          <w:lang w:eastAsia="zh-CN"/>
        </w:rPr>
      </w:pPr>
      <w:r>
        <w:rPr>
          <w:rFonts w:hint="eastAsia"/>
          <w:b/>
          <w:bCs/>
          <w:szCs w:val="21"/>
          <w:lang w:eastAsia="zh-CN"/>
        </w:rPr>
        <w:t>5</w:t>
      </w:r>
      <w:r>
        <w:rPr>
          <w:b/>
          <w:bCs/>
          <w:szCs w:val="21"/>
          <w:lang w:eastAsia="zh-CN"/>
        </w:rPr>
        <w:t>.2</w:t>
      </w:r>
      <w:r>
        <w:rPr>
          <w:rFonts w:hint="eastAsia"/>
          <w:b/>
          <w:bCs/>
          <w:szCs w:val="21"/>
          <w:lang w:eastAsia="zh-CN"/>
        </w:rPr>
        <w:t>量化验收标准</w:t>
      </w:r>
    </w:p>
    <w:p w14:paraId="2671C15A">
      <w:pPr>
        <w:spacing w:before="120" w:line="320" w:lineRule="exact"/>
        <w:rPr>
          <w:rFonts w:hint="eastAsia"/>
          <w:b/>
          <w:bCs/>
          <w:szCs w:val="21"/>
          <w:lang w:eastAsia="zh-CN"/>
        </w:rPr>
      </w:pPr>
      <w:r>
        <w:rPr>
          <w:rFonts w:hint="eastAsia"/>
          <w:b/>
          <w:bCs/>
          <w:szCs w:val="21"/>
          <w:lang w:eastAsia="zh-CN"/>
        </w:rPr>
        <w:t>5.</w:t>
      </w:r>
      <w:r>
        <w:rPr>
          <w:b/>
          <w:bCs/>
          <w:szCs w:val="21"/>
          <w:lang w:eastAsia="zh-CN"/>
        </w:rPr>
        <w:t>3</w:t>
      </w:r>
      <w:r>
        <w:rPr>
          <w:rFonts w:hint="eastAsia"/>
          <w:b/>
          <w:bCs/>
          <w:szCs w:val="21"/>
          <w:lang w:eastAsia="zh-CN"/>
        </w:rPr>
        <w:t>组织验收</w:t>
      </w:r>
    </w:p>
    <w:p w14:paraId="75136692">
      <w:pPr>
        <w:spacing w:before="120" w:line="320" w:lineRule="exact"/>
        <w:rPr>
          <w:rFonts w:hint="eastAsia"/>
          <w:b/>
          <w:bCs/>
          <w:szCs w:val="21"/>
          <w:lang w:eastAsia="zh-CN"/>
        </w:rPr>
      </w:pPr>
      <w:r>
        <w:rPr>
          <w:rFonts w:hint="eastAsia"/>
          <w:b/>
          <w:bCs/>
          <w:szCs w:val="21"/>
          <w:lang w:eastAsia="zh-CN"/>
        </w:rPr>
        <w:t>5.</w:t>
      </w:r>
      <w:r>
        <w:rPr>
          <w:b/>
          <w:bCs/>
          <w:szCs w:val="21"/>
          <w:lang w:eastAsia="zh-CN"/>
        </w:rPr>
        <w:t>4</w:t>
      </w:r>
      <w:r>
        <w:rPr>
          <w:rFonts w:hint="eastAsia"/>
          <w:b/>
          <w:bCs/>
          <w:szCs w:val="21"/>
          <w:lang w:eastAsia="zh-CN"/>
        </w:rPr>
        <w:t>出具验收报告</w:t>
      </w:r>
    </w:p>
    <w:p w14:paraId="0452D6D2">
      <w:pPr>
        <w:spacing w:before="120" w:line="320" w:lineRule="exact"/>
        <w:rPr>
          <w:rFonts w:hint="eastAsia"/>
          <w:b/>
          <w:bCs/>
          <w:szCs w:val="21"/>
          <w:lang w:eastAsia="zh-CN"/>
        </w:rPr>
      </w:pPr>
      <w:r>
        <w:rPr>
          <w:rFonts w:hint="eastAsia"/>
          <w:b/>
          <w:bCs/>
          <w:szCs w:val="21"/>
          <w:lang w:eastAsia="zh-CN"/>
        </w:rPr>
        <w:t>5.</w:t>
      </w:r>
      <w:r>
        <w:rPr>
          <w:b/>
          <w:bCs/>
          <w:szCs w:val="21"/>
          <w:lang w:eastAsia="zh-CN"/>
        </w:rPr>
        <w:t>5</w:t>
      </w:r>
      <w:r>
        <w:rPr>
          <w:rFonts w:hint="eastAsia"/>
          <w:b/>
          <w:bCs/>
          <w:szCs w:val="21"/>
          <w:lang w:eastAsia="zh-CN"/>
        </w:rPr>
        <w:t>验收结果公告</w:t>
      </w:r>
    </w:p>
    <w:p w14:paraId="7907D96D">
      <w:pPr>
        <w:spacing w:before="120" w:line="320" w:lineRule="exact"/>
        <w:rPr>
          <w:rFonts w:hint="eastAsia"/>
          <w:b/>
          <w:bCs/>
          <w:szCs w:val="21"/>
          <w:lang w:eastAsia="zh-CN"/>
        </w:rPr>
      </w:pPr>
      <w:r>
        <w:rPr>
          <w:rFonts w:hint="eastAsia"/>
          <w:b/>
          <w:bCs/>
          <w:szCs w:val="21"/>
          <w:lang w:eastAsia="zh-CN"/>
        </w:rPr>
        <w:t>5.</w:t>
      </w:r>
      <w:r>
        <w:rPr>
          <w:b/>
          <w:bCs/>
          <w:szCs w:val="21"/>
          <w:lang w:eastAsia="zh-CN"/>
        </w:rPr>
        <w:t>6</w:t>
      </w:r>
      <w:r>
        <w:rPr>
          <w:rFonts w:hint="eastAsia"/>
          <w:b/>
          <w:bCs/>
          <w:szCs w:val="21"/>
          <w:lang w:eastAsia="zh-CN"/>
        </w:rPr>
        <w:t>验收资料归档</w:t>
      </w:r>
    </w:p>
    <w:p w14:paraId="3D2D3212">
      <w:pPr>
        <w:spacing w:before="120" w:line="320" w:lineRule="exact"/>
        <w:ind w:firstLine="420" w:firstLineChars="200"/>
        <w:rPr>
          <w:rFonts w:hint="eastAsia"/>
          <w:szCs w:val="21"/>
          <w:lang w:eastAsia="zh-CN"/>
        </w:rPr>
      </w:pPr>
      <w:r>
        <w:rPr>
          <w:rFonts w:hint="eastAsia"/>
          <w:szCs w:val="21"/>
          <w:lang w:eastAsia="zh-CN"/>
        </w:rPr>
        <w:t>采购合同项目完成验收后，采购人整理好验收原始记录、验收书等资料后妥善保管，不得变造、隐匿或者销毁，验收资料保存期为采购结束之日起至少保存15年。</w:t>
      </w:r>
    </w:p>
    <w:p w14:paraId="09E69F9A">
      <w:pPr>
        <w:spacing w:before="120" w:line="320" w:lineRule="exact"/>
        <w:rPr>
          <w:rFonts w:hint="eastAsia"/>
          <w:b/>
          <w:bCs/>
          <w:iCs/>
          <w:szCs w:val="21"/>
          <w:lang w:eastAsia="zh-CN"/>
        </w:rPr>
      </w:pPr>
      <w:r>
        <w:rPr>
          <w:rFonts w:hint="eastAsia"/>
          <w:b/>
          <w:bCs/>
          <w:szCs w:val="21"/>
          <w:lang w:eastAsia="zh-CN"/>
        </w:rPr>
        <w:t>6.验收内容</w:t>
      </w:r>
    </w:p>
    <w:p w14:paraId="6F85A039">
      <w:pPr>
        <w:spacing w:before="120" w:line="320" w:lineRule="exact"/>
        <w:rPr>
          <w:rFonts w:hint="eastAsia"/>
          <w:iCs/>
          <w:szCs w:val="21"/>
          <w:lang w:eastAsia="zh-CN"/>
        </w:rPr>
      </w:pPr>
      <w:r>
        <w:rPr>
          <w:rFonts w:hint="eastAsia"/>
          <w:b/>
          <w:bCs/>
          <w:szCs w:val="21"/>
          <w:lang w:eastAsia="zh-CN"/>
        </w:rPr>
        <w:t>6.1商务验收内容</w:t>
      </w:r>
    </w:p>
    <w:p w14:paraId="74609D45">
      <w:pPr>
        <w:spacing w:before="120" w:line="320" w:lineRule="exact"/>
        <w:ind w:firstLine="420" w:firstLineChars="200"/>
        <w:rPr>
          <w:rFonts w:hint="eastAsia" w:eastAsia="Microsoft YaHei UI"/>
          <w:szCs w:val="21"/>
          <w:u w:val="single"/>
          <w:lang w:eastAsia="zh-CN"/>
        </w:rPr>
      </w:pPr>
      <w:r>
        <w:rPr>
          <w:rFonts w:hint="eastAsia"/>
          <w:szCs w:val="21"/>
          <w:lang w:eastAsia="zh-CN"/>
        </w:rPr>
        <w:t>对采购标的交付的情况、财务和服务要求，包括交付（实施）的时间（期限）和地点（范围），付款条件（进度和方式），包装和运输，售后服务，保险等进行验收。</w:t>
      </w:r>
    </w:p>
    <w:p w14:paraId="397E55EE">
      <w:pPr>
        <w:spacing w:before="120" w:line="320" w:lineRule="exact"/>
        <w:rPr>
          <w:rFonts w:hint="eastAsia"/>
          <w:iCs/>
          <w:szCs w:val="21"/>
          <w:lang w:eastAsia="zh-CN"/>
        </w:rPr>
      </w:pPr>
      <w:r>
        <w:rPr>
          <w:rFonts w:hint="eastAsia"/>
          <w:b/>
          <w:bCs/>
          <w:szCs w:val="21"/>
          <w:lang w:eastAsia="zh-CN"/>
        </w:rPr>
        <w:t>6.2技术验收内容</w:t>
      </w:r>
    </w:p>
    <w:p w14:paraId="3EB35AA9">
      <w:pPr>
        <w:spacing w:before="120" w:line="320" w:lineRule="exact"/>
        <w:ind w:firstLine="420" w:firstLineChars="200"/>
        <w:rPr>
          <w:rFonts w:hint="eastAsia"/>
          <w:szCs w:val="21"/>
          <w:u w:val="single"/>
          <w:lang w:eastAsia="zh-CN"/>
        </w:rPr>
      </w:pPr>
      <w:r>
        <w:rPr>
          <w:rFonts w:hint="eastAsia"/>
          <w:szCs w:val="21"/>
          <w:lang w:eastAsia="zh-CN"/>
        </w:rPr>
        <w:t>对采购标的的功能和质量要求，包括性能、材料、结构、外观、安全，或者服务内容和标准等进行验收。</w:t>
      </w:r>
    </w:p>
    <w:p w14:paraId="01A9DF03">
      <w:pPr>
        <w:spacing w:before="120" w:line="320" w:lineRule="exact"/>
        <w:rPr>
          <w:rFonts w:hint="eastAsia"/>
          <w:b/>
          <w:bCs/>
          <w:szCs w:val="21"/>
          <w:lang w:eastAsia="zh-CN"/>
        </w:rPr>
      </w:pPr>
      <w:r>
        <w:rPr>
          <w:rFonts w:hint="eastAsia"/>
          <w:b/>
          <w:bCs/>
          <w:szCs w:val="21"/>
          <w:lang w:eastAsia="zh-CN"/>
        </w:rPr>
        <w:t>7.验收标准</w:t>
      </w:r>
    </w:p>
    <w:p w14:paraId="6CDD32DB">
      <w:pPr>
        <w:pStyle w:val="7"/>
        <w:spacing w:before="120" w:line="320" w:lineRule="exact"/>
        <w:ind w:firstLine="420"/>
        <w:rPr>
          <w:rFonts w:hint="eastAsia" w:ascii="宋体" w:hAnsi="宋体" w:eastAsia="宋体"/>
          <w:sz w:val="21"/>
          <w:szCs w:val="21"/>
          <w:lang w:eastAsia="zh-CN"/>
        </w:rPr>
      </w:pPr>
      <w:r>
        <w:rPr>
          <w:rFonts w:hint="eastAsia" w:ascii="宋体" w:hAnsi="宋体" w:eastAsia="宋体"/>
          <w:sz w:val="21"/>
          <w:szCs w:val="21"/>
          <w:lang w:eastAsia="zh-CN"/>
        </w:rPr>
        <w:t>验收标准：</w:t>
      </w:r>
    </w:p>
    <w:p w14:paraId="0B959408">
      <w:pPr>
        <w:pStyle w:val="7"/>
        <w:numPr>
          <w:ilvl w:val="0"/>
          <w:numId w:val="1"/>
        </w:numPr>
        <w:spacing w:before="120" w:line="320" w:lineRule="exact"/>
        <w:ind w:firstLineChars="0"/>
        <w:rPr>
          <w:rFonts w:ascii="宋体" w:hAnsi="宋体" w:eastAsia="宋体"/>
          <w:sz w:val="22"/>
          <w:szCs w:val="21"/>
          <w:lang w:eastAsia="zh-CN"/>
        </w:rPr>
      </w:pPr>
      <w:r>
        <w:rPr>
          <w:rFonts w:ascii="宋体" w:hAnsi="宋体" w:eastAsia="宋体"/>
          <w:sz w:val="22"/>
          <w:szCs w:val="21"/>
          <w:lang w:eastAsia="zh-CN"/>
        </w:rPr>
        <w:t>中标（成交）供应商应提供完备的技术资料、合格证</w:t>
      </w:r>
      <w:r>
        <w:rPr>
          <w:rFonts w:hint="eastAsia" w:ascii="宋体" w:hAnsi="宋体" w:eastAsia="宋体"/>
          <w:sz w:val="22"/>
          <w:szCs w:val="21"/>
          <w:lang w:eastAsia="zh-CN"/>
        </w:rPr>
        <w:t>，货票同行，有固定的专业人员对接售后事宜等</w:t>
      </w:r>
      <w:r>
        <w:rPr>
          <w:rFonts w:ascii="宋体" w:hAnsi="宋体" w:eastAsia="宋体"/>
          <w:sz w:val="22"/>
          <w:szCs w:val="21"/>
          <w:lang w:eastAsia="zh-CN"/>
        </w:rPr>
        <w:t>。</w:t>
      </w:r>
    </w:p>
    <w:p w14:paraId="7CF4E14F">
      <w:pPr>
        <w:pStyle w:val="7"/>
        <w:numPr>
          <w:ilvl w:val="0"/>
          <w:numId w:val="1"/>
        </w:numPr>
        <w:spacing w:before="120" w:line="320" w:lineRule="exact"/>
        <w:ind w:firstLineChars="0"/>
        <w:rPr>
          <w:rFonts w:hint="eastAsia" w:ascii="宋体" w:hAnsi="宋体" w:eastAsia="宋体"/>
          <w:sz w:val="22"/>
          <w:szCs w:val="21"/>
          <w:lang w:eastAsia="zh-CN"/>
        </w:rPr>
      </w:pPr>
      <w:r>
        <w:rPr>
          <w:rFonts w:ascii="宋体" w:hAnsi="宋体" w:eastAsia="宋体"/>
          <w:sz w:val="22"/>
          <w:szCs w:val="21"/>
          <w:lang w:eastAsia="zh-CN"/>
        </w:rPr>
        <w:t>验收合格条件如下：</w:t>
      </w:r>
    </w:p>
    <w:p w14:paraId="597492B4">
      <w:pPr>
        <w:spacing w:before="120" w:line="320" w:lineRule="exact"/>
        <w:rPr>
          <w:rFonts w:hint="eastAsia"/>
          <w:szCs w:val="21"/>
          <w:lang w:eastAsia="zh-CN"/>
        </w:rPr>
      </w:pPr>
      <w:r>
        <w:rPr>
          <w:rFonts w:hint="eastAsia"/>
          <w:szCs w:val="21"/>
          <w:lang w:eastAsia="zh-CN"/>
        </w:rPr>
        <w:t>货物技术参数与投标文件中响应表或证明材料一致，性能或指标达到规定的标准。否则，以实际货物技术参数与投标文件响应表参数或证明材料比较，按如下情况处理：</w:t>
      </w:r>
    </w:p>
    <w:p w14:paraId="682CD8BB">
      <w:pPr>
        <w:spacing w:before="120" w:line="320" w:lineRule="exact"/>
        <w:rPr>
          <w:rFonts w:hint="eastAsia"/>
          <w:szCs w:val="21"/>
          <w:lang w:eastAsia="zh-CN"/>
        </w:rPr>
      </w:pPr>
      <w:r>
        <w:rPr>
          <w:rFonts w:hint="eastAsia"/>
          <w:szCs w:val="21"/>
          <w:lang w:eastAsia="zh-CN"/>
        </w:rPr>
        <w:t>①供应商投标文件响应表或证明材料中满足或优于的技术参数，在验收时实际不满足技术参数要求的，视为供应商违约，采购人有权解除合同拒收货物，并追究供应商责任，同时报财政部门备案。</w:t>
      </w:r>
    </w:p>
    <w:p w14:paraId="1B8379DE">
      <w:pPr>
        <w:spacing w:before="120" w:line="320" w:lineRule="exact"/>
        <w:rPr>
          <w:rFonts w:hint="eastAsia"/>
          <w:szCs w:val="21"/>
          <w:lang w:eastAsia="zh-CN"/>
        </w:rPr>
      </w:pPr>
      <w:r>
        <w:rPr>
          <w:rFonts w:hint="eastAsia"/>
          <w:szCs w:val="21"/>
          <w:lang w:eastAsia="zh-CN"/>
        </w:rPr>
        <w:t>②供应商投标文件响应表或证明材料中优于的技术参数，在验收时实际仅满足并未优于技术参数要求的，视为供应商违约，采购人有权终止合同拒收货物，并追究供应商责任，同时报财政部门备案。</w:t>
      </w:r>
    </w:p>
    <w:p w14:paraId="1DE6FDC3">
      <w:pPr>
        <w:spacing w:before="120" w:line="320" w:lineRule="exact"/>
        <w:rPr>
          <w:rFonts w:hint="eastAsia"/>
          <w:szCs w:val="21"/>
          <w:lang w:eastAsia="zh-CN"/>
        </w:rPr>
      </w:pPr>
      <w:r>
        <w:rPr>
          <w:rFonts w:hint="eastAsia"/>
          <w:szCs w:val="21"/>
          <w:lang w:eastAsia="zh-CN"/>
        </w:rPr>
        <w:t xml:space="preserve">③供应商投标文件响应表或证明材料中不满足的技术参数，在验收时实际满足技术参数的要求，以满足技术参数的要求验收。 </w:t>
      </w:r>
    </w:p>
    <w:p w14:paraId="41A1D996">
      <w:pPr>
        <w:spacing w:before="120" w:line="320" w:lineRule="exact"/>
        <w:rPr>
          <w:rFonts w:hint="eastAsia"/>
          <w:szCs w:val="21"/>
          <w:lang w:eastAsia="zh-CN"/>
        </w:rPr>
      </w:pPr>
      <w:r>
        <w:rPr>
          <w:rFonts w:hint="eastAsia"/>
          <w:szCs w:val="21"/>
          <w:lang w:eastAsia="zh-CN"/>
        </w:rPr>
        <w:t>④供应商投标文件响应表或证明材料中满足的技术参数，在验收时实际优于技术参数的要求，以满足技术参数的要求验收。</w:t>
      </w:r>
    </w:p>
    <w:p w14:paraId="79252EB9">
      <w:pPr>
        <w:spacing w:before="120" w:line="320" w:lineRule="exact"/>
        <w:rPr>
          <w:rFonts w:hint="eastAsia"/>
          <w:szCs w:val="21"/>
          <w:lang w:eastAsia="zh-CN"/>
        </w:rPr>
      </w:pPr>
      <w:r>
        <w:rPr>
          <w:rFonts w:hint="eastAsia"/>
          <w:szCs w:val="21"/>
          <w:lang w:eastAsia="zh-CN"/>
        </w:rPr>
        <w:t>⑤供应商投标文件响应表或证明材料中优于的技术参数，在验收时实际也优于技术参数的要求，但没有达到响应表或证明材料中优于的程度，由采购人与供应商协商按是否满足要求验收。</w:t>
      </w:r>
    </w:p>
    <w:p w14:paraId="227E6A3E">
      <w:pPr>
        <w:spacing w:before="120" w:line="320" w:lineRule="exact"/>
        <w:rPr>
          <w:rFonts w:hint="eastAsia"/>
          <w:szCs w:val="21"/>
          <w:lang w:eastAsia="zh-CN"/>
        </w:rPr>
      </w:pPr>
      <w:r>
        <w:rPr>
          <w:rFonts w:hint="eastAsia"/>
          <w:szCs w:val="21"/>
          <w:lang w:eastAsia="zh-CN"/>
        </w:rPr>
        <w:t>⑥实际货物与响应货物型号不一致的，验收时不论实际是优于还是满足技术参数的要求，采购人均有权解除合同拒收货物。如影响货物的使用、质量、档次及采购人需求的，还可视为供应商违约，追究供应商责任，同时报财政部门备案。</w:t>
      </w:r>
    </w:p>
    <w:p w14:paraId="66BE89E3">
      <w:pPr>
        <w:spacing w:before="120" w:line="320" w:lineRule="exact"/>
        <w:ind w:firstLine="420" w:firstLineChars="200"/>
        <w:rPr>
          <w:rFonts w:hint="eastAsia"/>
          <w:szCs w:val="21"/>
          <w:lang w:eastAsia="zh-CN"/>
        </w:rPr>
      </w:pPr>
      <w:r>
        <w:rPr>
          <w:rFonts w:hint="eastAsia"/>
          <w:szCs w:val="21"/>
          <w:lang w:eastAsia="zh-CN"/>
        </w:rPr>
        <w:t>（2）技术资料、合格证等资料齐全。</w:t>
      </w:r>
    </w:p>
    <w:p w14:paraId="0235A672">
      <w:pPr>
        <w:spacing w:before="120" w:line="320" w:lineRule="exact"/>
        <w:ind w:firstLine="420" w:firstLineChars="200"/>
        <w:rPr>
          <w:rFonts w:hint="eastAsia"/>
          <w:szCs w:val="21"/>
          <w:lang w:eastAsia="zh-CN"/>
        </w:rPr>
      </w:pPr>
      <w:r>
        <w:rPr>
          <w:rFonts w:hint="eastAsia"/>
          <w:szCs w:val="21"/>
          <w:lang w:eastAsia="zh-CN"/>
        </w:rPr>
        <w:t>（3）在规定时间内完成交货及验收，并经采购人确认。</w:t>
      </w:r>
    </w:p>
    <w:p w14:paraId="1249DB69">
      <w:pPr>
        <w:spacing w:before="120" w:line="320" w:lineRule="exact"/>
        <w:ind w:firstLine="420" w:firstLineChars="200"/>
        <w:rPr>
          <w:rFonts w:hint="eastAsia"/>
          <w:szCs w:val="21"/>
          <w:lang w:eastAsia="zh-CN"/>
        </w:rPr>
      </w:pPr>
      <w:r>
        <w:rPr>
          <w:rFonts w:hint="eastAsia"/>
          <w:szCs w:val="21"/>
          <w:lang w:eastAsia="zh-CN"/>
        </w:rPr>
        <w:t>（4）中标供应商提供的货物未达到招标文件规定要求，且对采购人造成损失的，由中标供应商承担一切责任，并赔偿所造成的损失。</w:t>
      </w:r>
    </w:p>
    <w:p w14:paraId="36730BA9">
      <w:pPr>
        <w:spacing w:before="120" w:line="320" w:lineRule="exact"/>
        <w:ind w:firstLine="420" w:firstLineChars="200"/>
        <w:rPr>
          <w:rFonts w:hint="eastAsia"/>
          <w:szCs w:val="21"/>
          <w:lang w:eastAsia="zh-CN"/>
        </w:rPr>
      </w:pPr>
      <w:r>
        <w:rPr>
          <w:rFonts w:hint="eastAsia"/>
          <w:szCs w:val="21"/>
          <w:lang w:eastAsia="zh-CN"/>
        </w:rPr>
        <w:t>（5）采购人需要制造商对中标供应商交付的产品（包括质量、参数等）进行确认的，制造商应予以配合并出具书面意见，相关配合事项由中标供应商与制造商协调。</w:t>
      </w:r>
    </w:p>
    <w:p w14:paraId="769314EE">
      <w:pPr>
        <w:spacing w:before="120" w:line="320" w:lineRule="exact"/>
        <w:ind w:firstLine="420" w:firstLineChars="200"/>
        <w:rPr>
          <w:rFonts w:hint="eastAsia"/>
          <w:szCs w:val="21"/>
          <w:lang w:eastAsia="zh-CN"/>
        </w:rPr>
      </w:pPr>
      <w:r>
        <w:rPr>
          <w:rFonts w:hint="eastAsia"/>
          <w:szCs w:val="21"/>
          <w:lang w:eastAsia="zh-CN"/>
        </w:rPr>
        <w:t>（6）产品包装材料归采购人所有。</w:t>
      </w:r>
    </w:p>
    <w:p w14:paraId="0396D3B1">
      <w:pPr>
        <w:spacing w:before="120" w:line="320" w:lineRule="exact"/>
        <w:ind w:firstLine="420" w:firstLineChars="200"/>
        <w:rPr>
          <w:rFonts w:hint="eastAsia"/>
          <w:szCs w:val="21"/>
          <w:lang w:eastAsia="zh-CN"/>
        </w:rPr>
      </w:pPr>
      <w:r>
        <w:rPr>
          <w:rFonts w:hint="eastAsia"/>
          <w:szCs w:val="21"/>
          <w:lang w:eastAsia="zh-CN"/>
        </w:rPr>
        <w:t>（7）政府采购合同约定的其他要求及投标文件响应的其他标准。</w:t>
      </w:r>
    </w:p>
    <w:p w14:paraId="4C43F010">
      <w:pPr>
        <w:spacing w:before="120" w:line="320" w:lineRule="exact"/>
        <w:rPr>
          <w:rFonts w:hint="eastAsia"/>
          <w:b/>
          <w:bCs/>
          <w:szCs w:val="21"/>
        </w:rPr>
      </w:pPr>
      <w:r>
        <w:rPr>
          <w:rFonts w:hint="eastAsia"/>
          <w:b/>
          <w:bCs/>
          <w:szCs w:val="21"/>
        </w:rPr>
        <w:t>8.验收其他事项</w:t>
      </w:r>
    </w:p>
    <w:p w14:paraId="2A5E9AF0">
      <w:pPr>
        <w:spacing w:line="360" w:lineRule="auto"/>
        <w:rPr>
          <w:rFonts w:hint="eastAsia"/>
          <w:sz w:val="20"/>
          <w:szCs w:val="20"/>
          <w:lang w:eastAsia="zh-CN"/>
        </w:rPr>
      </w:pPr>
      <w:r>
        <w:rPr>
          <w:rFonts w:hint="eastAsia"/>
          <w:szCs w:val="21"/>
        </w:rPr>
        <w:t>无</w:t>
      </w:r>
    </w:p>
    <w:p w14:paraId="7537474F">
      <w:pPr>
        <w:pStyle w:val="6"/>
        <w:rPr>
          <w:rFonts w:hint="default"/>
        </w:rPr>
      </w:pPr>
    </w:p>
    <w:p w14:paraId="606ED8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5C1FF9"/>
    <w:multiLevelType w:val="multilevel"/>
    <w:tmpl w:val="5B5C1FF9"/>
    <w:lvl w:ilvl="0" w:tentative="0">
      <w:start w:val="1"/>
      <w:numFmt w:val="decimal"/>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7B7EED"/>
    <w:rsid w:val="31A02B38"/>
    <w:rsid w:val="54C773C8"/>
    <w:rsid w:val="65CF31BD"/>
    <w:rsid w:val="721E4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ind w:left="733"/>
    </w:pPr>
    <w:rPr>
      <w:rFonts w:ascii="宋体" w:hAnsi="宋体" w:eastAsia="宋体" w:cs="宋体"/>
      <w:sz w:val="28"/>
      <w:szCs w:val="28"/>
      <w:lang w:val="zh-CN" w:bidi="zh-CN"/>
    </w:rPr>
  </w:style>
  <w:style w:type="character" w:styleId="5">
    <w:name w:val="annotation reference"/>
    <w:basedOn w:val="4"/>
    <w:qFormat/>
    <w:uiPriority w:val="0"/>
    <w:rPr>
      <w:sz w:val="21"/>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正文-2字符首行缩进"/>
    <w:basedOn w:val="1"/>
    <w:qFormat/>
    <w:uiPriority w:val="0"/>
    <w:pPr>
      <w:widowControl/>
      <w:spacing w:line="360" w:lineRule="auto"/>
      <w:ind w:firstLine="200" w:firstLineChars="200"/>
    </w:pPr>
    <w:rPr>
      <w:rFonts w:ascii="仿宋_GB2312" w:hAnsi="Calibri" w:eastAsia="仿宋_GB231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6688</Words>
  <Characters>6807</Characters>
  <Lines>0</Lines>
  <Paragraphs>0</Paragraphs>
  <TotalTime>0</TotalTime>
  <ScaleCrop>false</ScaleCrop>
  <LinksUpToDate>false</LinksUpToDate>
  <CharactersWithSpaces>7090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2025-06-18T01:16:00Z</dcterms:created>
  <dc:creator>Administrator</dc:creator>
  <cp:lastModifiedBy>夏日微凉</cp:lastModifiedBy>
  <dcterms:modified xsi:type="dcterms:W3CDTF">2025-07-14T02:27:31Z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D5867580707C431B99B6585F104C8557_12</vt:lpwstr>
  </property>
</Properties>
</file>