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版本号：ZX2025-06-0920250725001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污水处理站运维托管服务项目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ZX2025-06-09</w:t>
      </w:r>
      <w:r>
        <w:br/>
      </w:r>
      <w:r>
        <w:br/>
      </w:r>
      <w:r>
        <w:br/>
      </w:r>
    </w:p>
    <w:p>
      <w:pPr>
        <w:pStyle w:val="null3"/>
        <w:jc w:val="center"/>
        <w:outlineLvl w:val="2"/>
      </w:pPr>
      <w:r>
        <w:rPr>
          <w:rFonts w:ascii="仿宋_GB2312" w:hAnsi="仿宋_GB2312" w:cs="仿宋_GB2312" w:eastAsia="仿宋_GB2312"/>
          <w:sz w:val="28"/>
          <w:b/>
        </w:rPr>
        <w:t>陕西省结核病防治院</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陕西省结核病防治院</w:t>
      </w:r>
      <w:r>
        <w:rPr>
          <w:rFonts w:ascii="仿宋_GB2312" w:hAnsi="仿宋_GB2312" w:cs="仿宋_GB2312" w:eastAsia="仿宋_GB2312"/>
        </w:rPr>
        <w:t>委托，拟对</w:t>
      </w:r>
      <w:r>
        <w:rPr>
          <w:rFonts w:ascii="仿宋_GB2312" w:hAnsi="仿宋_GB2312" w:cs="仿宋_GB2312" w:eastAsia="仿宋_GB2312"/>
        </w:rPr>
        <w:t>污水处理站运维托管服务项目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ZX2025-06-09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污水处理站运维托管服务项目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本项目为污水处理站运维托管服务，1项，具体详见采购文件第三章。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采购包1（污水处理站运维托管服务项目）：属于专门面向中小企业采购。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1、法定代表人授权委托书：法定代表人参加磋商的，须提供法定代表人身份证；法定代表人授权本单位他人参加磋商的，须提供法定代表人授权委托书。</w:t>
      </w:r>
    </w:p>
    <w:p>
      <w:pPr>
        <w:pStyle w:val="null3"/>
      </w:pPr>
      <w:r>
        <w:rPr>
          <w:rFonts w:ascii="仿宋_GB2312" w:hAnsi="仿宋_GB2312" w:cs="仿宋_GB2312" w:eastAsia="仿宋_GB2312"/>
        </w:rPr>
        <w:t>2、本项目不接受联合体投标，不允许分包：本项目不接受联合体投标，不允许分包。供应商应提供《非联合体不分包投标声明》。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陕西省结核病防治院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陕西省西安市长安区太乙宫镇上湾村甲字1号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701100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029-85899294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孙童欣 张爽 曹婷 马演 王宇轩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029-88110800转8033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采购包1保证金金额：10,609.00元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开户名称：陕西正信招标有限公司（资金性质：保证金专用账户）</w:t>
            </w:r>
          </w:p>
          <w:p>
            <w:pPr>
              <w:pStyle w:val="null3"/>
            </w:pPr>
            <w:r>
              <w:rPr>
                <w:rFonts w:ascii="仿宋_GB2312" w:hAnsi="仿宋_GB2312" w:cs="仿宋_GB2312" w:eastAsia="仿宋_GB2312"/>
              </w:rPr>
              <w:t>开户银行：中国银行西安四府街支行</w:t>
            </w:r>
          </w:p>
          <w:p>
            <w:pPr>
              <w:pStyle w:val="null3"/>
            </w:pPr>
            <w:r>
              <w:rPr>
                <w:rFonts w:ascii="仿宋_GB2312" w:hAnsi="仿宋_GB2312" w:cs="仿宋_GB2312" w:eastAsia="仿宋_GB2312"/>
              </w:rPr>
              <w:t>银行账号：102500641590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代理服务费收费标准：参照国家计委计价格[2002]1980号及发改办价格[2003]857号通知规定，由成交供应商支付代理服务费。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陕西省结核病防治院</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陕西省结核病防治院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陕西省结核病防治院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按照磋商文件、响应文件和合同文本执行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联系人：曹婷、孙童欣</w:t>
      </w:r>
    </w:p>
    <w:p>
      <w:pPr>
        <w:pStyle w:val="null3"/>
      </w:pPr>
      <w:r>
        <w:rPr>
          <w:rFonts w:ascii="仿宋_GB2312" w:hAnsi="仿宋_GB2312" w:cs="仿宋_GB2312" w:eastAsia="仿宋_GB2312"/>
        </w:rPr>
        <w:t>联系电话：029-88110800转8033（1053910307@qq.com）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本项目为污水处理站运维托管服务,1项,具体详见技术参数与性能指标。</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650,000.00</w:t>
      </w:r>
    </w:p>
    <w:p>
      <w:pPr>
        <w:pStyle w:val="null3"/>
      </w:pPr>
      <w:r>
        <w:rPr>
          <w:rFonts w:ascii="仿宋_GB2312" w:hAnsi="仿宋_GB2312" w:cs="仿宋_GB2312" w:eastAsia="仿宋_GB2312"/>
        </w:rPr>
        <w:t>采购包最高限价（元）: 650,000.00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污水站整体运维托管项目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标的名称：污水站整体运维托管项目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一、项目概况</w:t>
            </w:r>
          </w:p>
          <w:p>
            <w:pPr>
              <w:pStyle w:val="null3"/>
            </w:pPr>
            <w:r>
              <w:rPr>
                <w:rFonts w:ascii="仿宋_GB2312" w:hAnsi="仿宋_GB2312" w:cs="仿宋_GB2312" w:eastAsia="仿宋_GB2312"/>
              </w:rPr>
              <w:t>医院污水站始建于2006年，日处理量650m³，2023年2月对原有污水站进行升级改造，改造后污水站处理工艺为：机械格栅+调节池+厌氧池+缺氧池+好氧接触氧化池+MBR膜池+消毒池；原有废气处理（2000m³/h）工艺改造后为：尾气收集+喷淋塔+风机+高效尾气处理站装置+15m烟囱。</w:t>
            </w:r>
          </w:p>
          <w:p>
            <w:pPr>
              <w:pStyle w:val="null3"/>
            </w:pPr>
            <w:r>
              <w:rPr>
                <w:rFonts w:ascii="仿宋_GB2312" w:hAnsi="仿宋_GB2312" w:cs="仿宋_GB2312" w:eastAsia="仿宋_GB2312"/>
              </w:rPr>
              <w:t>2022年伴随《陕西省公共卫生中心（一期）项目》开展，在原址旁边改扩建日处理量350m³的污水处理站，污水站处理工艺为：机械格栅+脱氯池+调节池+厌氧池+缺氧池+好氧接触氧化池+MBR膜池+消毒池；废气处理（5000m³/h）工艺为：尾气收集+风机+高效尾气处理站装置+15m烟囱。</w:t>
            </w:r>
          </w:p>
          <w:p>
            <w:pPr>
              <w:pStyle w:val="null3"/>
            </w:pPr>
            <w:r>
              <w:rPr>
                <w:rFonts w:ascii="仿宋_GB2312" w:hAnsi="仿宋_GB2312" w:cs="仿宋_GB2312" w:eastAsia="仿宋_GB2312"/>
              </w:rPr>
              <w:t>共计日处理污水1000吨；小时废气处理7000m³/h。</w:t>
            </w:r>
          </w:p>
          <w:p>
            <w:pPr>
              <w:pStyle w:val="null3"/>
            </w:pPr>
            <w:r>
              <w:rPr>
                <w:rFonts w:ascii="仿宋_GB2312" w:hAnsi="仿宋_GB2312" w:cs="仿宋_GB2312" w:eastAsia="仿宋_GB2312"/>
              </w:rPr>
              <w:t>拟对医院污水站运行进行整体外包。</w:t>
            </w:r>
          </w:p>
          <w:p>
            <w:pPr>
              <w:pStyle w:val="null3"/>
            </w:pPr>
            <w:r>
              <w:rPr>
                <w:rFonts w:ascii="仿宋_GB2312" w:hAnsi="仿宋_GB2312" w:cs="仿宋_GB2312" w:eastAsia="仿宋_GB2312"/>
              </w:rPr>
              <w:t>二、服务内容（包括工作区域、工作内容等）</w:t>
            </w:r>
          </w:p>
          <w:p>
            <w:pPr>
              <w:pStyle w:val="null3"/>
            </w:pPr>
            <w:r>
              <w:rPr>
                <w:rFonts w:ascii="仿宋_GB2312" w:hAnsi="仿宋_GB2312" w:cs="仿宋_GB2312" w:eastAsia="仿宋_GB2312"/>
              </w:rPr>
              <w:t>1、供应商负责派驻专业人员对医院的污水站污水处理系统进行运营管理，保证处理后的污水、废气、噪声等达标排放。其中：污水出水水质执行《医疗机构水污染物排放标准》（GB18466-2005）中表1传染病、结核病医疗机构水污染物排放限制（日均值），同时执行《陕西省黄河流域污水综合排放标准》（DB61/224-2018）中表2其他单位水污染物排放浓度限值要求；废气排放执行《医疗机构水污染物排放标准》（GB18466-2005）及《恶臭污染物排放标准》（GB14554-1993）；噪声排放执行《工业企业厂界环境噪声排放标准》（GB12348-2008）中1类标准。</w:t>
            </w:r>
          </w:p>
          <w:p>
            <w:pPr>
              <w:pStyle w:val="null3"/>
            </w:pPr>
            <w:r>
              <w:rPr>
                <w:rFonts w:ascii="仿宋_GB2312" w:hAnsi="仿宋_GB2312" w:cs="仿宋_GB2312" w:eastAsia="仿宋_GB2312"/>
              </w:rPr>
              <w:t>主要指标如下表：</w:t>
            </w:r>
          </w:p>
          <w:p>
            <w:pPr>
              <w:pStyle w:val="null3"/>
            </w:pPr>
            <w:r>
              <w:rPr>
                <w:rFonts w:ascii="仿宋_GB2312" w:hAnsi="仿宋_GB2312" w:cs="仿宋_GB2312" w:eastAsia="仿宋_GB2312"/>
              </w:rPr>
              <w:t>（1）废气：2座污水处理站均设有废气处理设置，原有污水站废气工艺为：管道收集+活性炭吸附+光催化氧化（喷淋塔）+消毒+15m烟囱除臭处理后达标排放；总计2个有组织排放口，分别为DA001和DA007；</w:t>
            </w:r>
          </w:p>
          <w:p>
            <w:pPr>
              <w:pStyle w:val="null3"/>
            </w:pPr>
            <w:r>
              <w:rPr>
                <w:rFonts w:ascii="仿宋_GB2312" w:hAnsi="仿宋_GB2312" w:cs="仿宋_GB2312" w:eastAsia="仿宋_GB2312"/>
              </w:rPr>
              <w:t>（2）废水：废水统一收集进入综合污水站（机械格栅+调节池+厌氧池+缺氧池+好氧池+MBR膜池+接触消毒池）处理后排至太峪河，我单位共有2座污水处理站，原有污水处理站设计处理水量为650m³/d，新建综合污水处理站设计处理水量为350m³/d，总排出设计水量为1000m³/d。经同一个排放口编号：DW001排出；入河排放口编号：DC6101160005SH00；</w:t>
            </w:r>
          </w:p>
          <w:p>
            <w:pPr>
              <w:pStyle w:val="null3"/>
            </w:pPr>
            <w:r>
              <w:rPr>
                <w:rFonts w:ascii="仿宋_GB2312" w:hAnsi="仿宋_GB2312" w:cs="仿宋_GB2312" w:eastAsia="仿宋_GB2312"/>
              </w:rPr>
              <w:t>（3）噪声：采用低噪音设备，基础减震、隔声等降噪措施；</w:t>
            </w:r>
          </w:p>
          <w:p>
            <w:pPr>
              <w:pStyle w:val="null3"/>
            </w:pPr>
            <w:r>
              <w:rPr>
                <w:rFonts w:ascii="仿宋_GB2312" w:hAnsi="仿宋_GB2312" w:cs="仿宋_GB2312" w:eastAsia="仿宋_GB2312"/>
              </w:rPr>
              <w:t>（4）固体废物：危险废物暂存后定期交由（采购人指定的）资质单位处置；医疗废物由院内暂存后，统一由有资质的单位进行处置。</w:t>
            </w:r>
          </w:p>
          <w:p>
            <w:pPr>
              <w:pStyle w:val="null3"/>
            </w:pPr>
            <w:r>
              <w:rPr>
                <w:rFonts w:ascii="仿宋_GB2312" w:hAnsi="仿宋_GB2312" w:cs="仿宋_GB2312" w:eastAsia="仿宋_GB2312"/>
              </w:rPr>
              <w:t>2、负责污水站运维期间所需药剂采购及投加。</w:t>
            </w:r>
          </w:p>
          <w:p>
            <w:pPr>
              <w:pStyle w:val="null3"/>
            </w:pPr>
            <w:r>
              <w:rPr>
                <w:rFonts w:ascii="仿宋_GB2312" w:hAnsi="仿宋_GB2312" w:cs="仿宋_GB2312" w:eastAsia="仿宋_GB2312"/>
              </w:rPr>
              <w:t>3、日常水质检测费用（非第三方检测）。</w:t>
            </w:r>
          </w:p>
          <w:p>
            <w:pPr>
              <w:pStyle w:val="null3"/>
            </w:pPr>
            <w:r>
              <w:rPr>
                <w:rFonts w:ascii="仿宋_GB2312" w:hAnsi="仿宋_GB2312" w:cs="仿宋_GB2312" w:eastAsia="仿宋_GB2312"/>
              </w:rPr>
              <w:t>4、在线设备日常校准及维护。</w:t>
            </w:r>
          </w:p>
          <w:p>
            <w:pPr>
              <w:pStyle w:val="null3"/>
            </w:pPr>
            <w:r>
              <w:rPr>
                <w:rFonts w:ascii="仿宋_GB2312" w:hAnsi="仿宋_GB2312" w:cs="仿宋_GB2312" w:eastAsia="仿宋_GB2312"/>
              </w:rPr>
              <w:t>5、MBR膜系统清洗（1次/季度）。</w:t>
            </w:r>
          </w:p>
          <w:p>
            <w:pPr>
              <w:pStyle w:val="null3"/>
            </w:pPr>
            <w:r>
              <w:rPr>
                <w:rFonts w:ascii="仿宋_GB2312" w:hAnsi="仿宋_GB2312" w:cs="仿宋_GB2312" w:eastAsia="仿宋_GB2312"/>
              </w:rPr>
              <w:t>6、生化系统菌种投加。</w:t>
            </w:r>
          </w:p>
          <w:p>
            <w:pPr>
              <w:pStyle w:val="null3"/>
            </w:pPr>
            <w:r>
              <w:rPr>
                <w:rFonts w:ascii="仿宋_GB2312" w:hAnsi="仿宋_GB2312" w:cs="仿宋_GB2312" w:eastAsia="仿宋_GB2312"/>
              </w:rPr>
              <w:t>7、负责对系统设备、设施运行中出现的故障进行及时维修、维护及在线设备的校准、校验。</w:t>
            </w:r>
          </w:p>
          <w:p>
            <w:pPr>
              <w:pStyle w:val="null3"/>
            </w:pPr>
            <w:r>
              <w:rPr>
                <w:rFonts w:ascii="仿宋_GB2312" w:hAnsi="仿宋_GB2312" w:cs="仿宋_GB2312" w:eastAsia="仿宋_GB2312"/>
              </w:rPr>
              <w:t>8、污水站污泥处理：包含统一收集，存放在统一指定位置。（供应商不承担费用，存放在指定位置）</w:t>
            </w:r>
          </w:p>
          <w:p>
            <w:pPr>
              <w:pStyle w:val="null3"/>
            </w:pPr>
            <w:r>
              <w:rPr>
                <w:rFonts w:ascii="仿宋_GB2312" w:hAnsi="仿宋_GB2312" w:cs="仿宋_GB2312" w:eastAsia="仿宋_GB2312"/>
              </w:rPr>
              <w:t>9、负责所有污水有关的各类网上系统数据的上传及填报，确保填报内容符合规范要求。</w:t>
            </w:r>
          </w:p>
          <w:p>
            <w:pPr>
              <w:pStyle w:val="null3"/>
            </w:pPr>
            <w:r>
              <w:rPr>
                <w:rFonts w:ascii="仿宋_GB2312" w:hAnsi="仿宋_GB2312" w:cs="仿宋_GB2312" w:eastAsia="仿宋_GB2312"/>
              </w:rPr>
              <w:t>10、突发污染事件的应急预案及处置。</w:t>
            </w:r>
          </w:p>
          <w:p>
            <w:pPr>
              <w:pStyle w:val="null3"/>
            </w:pPr>
            <w:r>
              <w:rPr>
                <w:rFonts w:ascii="仿宋_GB2312" w:hAnsi="仿宋_GB2312" w:cs="仿宋_GB2312" w:eastAsia="仿宋_GB2312"/>
              </w:rPr>
              <w:t>11、运维过程中发生水质污染物超标，一切责任及产生的费用和罚款均由供应商承担。</w:t>
            </w:r>
          </w:p>
          <w:p>
            <w:pPr>
              <w:pStyle w:val="null3"/>
            </w:pPr>
            <w:r>
              <w:rPr>
                <w:rFonts w:ascii="仿宋_GB2312" w:hAnsi="仿宋_GB2312" w:cs="仿宋_GB2312" w:eastAsia="仿宋_GB2312"/>
              </w:rPr>
              <w:t>12、供应商派专人负责处理周边社区居民提出的投诉及与政府主管单位的沟通协调。</w:t>
            </w:r>
          </w:p>
          <w:p>
            <w:pPr>
              <w:pStyle w:val="null3"/>
            </w:pPr>
            <w:r>
              <w:rPr>
                <w:rFonts w:ascii="仿宋_GB2312" w:hAnsi="仿宋_GB2312" w:cs="仿宋_GB2312" w:eastAsia="仿宋_GB2312"/>
              </w:rPr>
              <w:t>三、服务要求（如对人员配置、专业设备、服务标准等）</w:t>
            </w:r>
          </w:p>
          <w:p>
            <w:pPr>
              <w:pStyle w:val="null3"/>
            </w:pPr>
            <w:r>
              <w:rPr>
                <w:rFonts w:ascii="仿宋_GB2312" w:hAnsi="仿宋_GB2312" w:cs="仿宋_GB2312" w:eastAsia="仿宋_GB2312"/>
              </w:rPr>
              <w:t>1、服从医院的组织和管理，保障污水处理站的正常运行，出水水质符合市政、环保及有关部门的要求。</w:t>
            </w:r>
          </w:p>
          <w:p>
            <w:pPr>
              <w:pStyle w:val="null3"/>
            </w:pPr>
            <w:r>
              <w:rPr>
                <w:rFonts w:ascii="仿宋_GB2312" w:hAnsi="仿宋_GB2312" w:cs="仿宋_GB2312" w:eastAsia="仿宋_GB2312"/>
              </w:rPr>
              <w:t>2、按照磋商文件技术要求对污水处理站定期巡检、设备维护和检修、构筑物漂浮物清理、日常水质检测以及院方交办的临时性任务。</w:t>
            </w:r>
          </w:p>
          <w:p>
            <w:pPr>
              <w:pStyle w:val="null3"/>
            </w:pPr>
            <w:r>
              <w:rPr>
                <w:rFonts w:ascii="仿宋_GB2312" w:hAnsi="仿宋_GB2312" w:cs="仿宋_GB2312" w:eastAsia="仿宋_GB2312"/>
              </w:rPr>
              <w:t>3、按照磋商文件技术要求对配备日常现场监测的设备仪器、相关试纸、快速检测设备等。</w:t>
            </w:r>
          </w:p>
          <w:p>
            <w:pPr>
              <w:pStyle w:val="null3"/>
            </w:pPr>
            <w:r>
              <w:rPr>
                <w:rFonts w:ascii="仿宋_GB2312" w:hAnsi="仿宋_GB2312" w:cs="仿宋_GB2312" w:eastAsia="仿宋_GB2312"/>
              </w:rPr>
              <w:t>4、污水处理系统必须每天24小时有值班人员在岗（含节假日）。以保证安全生产，站长1人，运维人员配置不得少于3人，所配备人员均需持证上岗。</w:t>
            </w:r>
          </w:p>
          <w:p>
            <w:pPr>
              <w:pStyle w:val="null3"/>
            </w:pPr>
            <w:r>
              <w:rPr>
                <w:rFonts w:ascii="仿宋_GB2312" w:hAnsi="仿宋_GB2312" w:cs="仿宋_GB2312" w:eastAsia="仿宋_GB2312"/>
              </w:rPr>
              <w:t>5、配备充足的运营服务人员，制定各种管理规章制度，包括工作方案、人员配置方案、工作职责、操作流程、应急预案、安全管理、设备维护保养及维修管理制度、值班管理制度等。</w:t>
            </w:r>
          </w:p>
          <w:p>
            <w:pPr>
              <w:pStyle w:val="null3"/>
            </w:pPr>
            <w:r>
              <w:rPr>
                <w:rFonts w:ascii="仿宋_GB2312" w:hAnsi="仿宋_GB2312" w:cs="仿宋_GB2312" w:eastAsia="仿宋_GB2312"/>
              </w:rPr>
              <w:t>6、制定维护记录表、污水处理量的运行监测表，对系统设备、设施运行中出现的故障进行及时维修维护，制定《设备维护保养计划》，并定期对污水处理系统设备进行维护保养等；对设施运行中出现的故障及时维修，如发生突发事件（如污水泄漏、机器故障等），维修人员必须2小时内到达现场排查原因，并制定应急措施方案，做好安全防护警戒及围蔽，确保将事件影响降至最低。供应商需定期向医院提交资料审核，包括但不限于：设备维护保养、清淤清渣、运行记录、消毒药剂用量记录等。</w:t>
            </w:r>
          </w:p>
          <w:p>
            <w:pPr>
              <w:pStyle w:val="null3"/>
            </w:pPr>
            <w:r>
              <w:rPr>
                <w:rFonts w:ascii="仿宋_GB2312" w:hAnsi="仿宋_GB2312" w:cs="仿宋_GB2312" w:eastAsia="仿宋_GB2312"/>
              </w:rPr>
              <w:t>7、建立日常工作台账，记录每日的工作内容，包括但不限于开泵、关泵、清渣、投加药剂、维修、交接班时间和工作内容等。</w:t>
            </w:r>
          </w:p>
          <w:p>
            <w:pPr>
              <w:pStyle w:val="null3"/>
            </w:pPr>
            <w:r>
              <w:rPr>
                <w:rFonts w:ascii="仿宋_GB2312" w:hAnsi="仿宋_GB2312" w:cs="仿宋_GB2312" w:eastAsia="仿宋_GB2312"/>
              </w:rPr>
              <w:t>8、污水处理系统产生的危废，供应商需交由（采购人指定的）有资质的单位处置，处置费供应商承担。</w:t>
            </w:r>
          </w:p>
          <w:p>
            <w:pPr>
              <w:pStyle w:val="null3"/>
            </w:pPr>
            <w:r>
              <w:rPr>
                <w:rFonts w:ascii="仿宋_GB2312" w:hAnsi="仿宋_GB2312" w:cs="仿宋_GB2312" w:eastAsia="仿宋_GB2312"/>
              </w:rPr>
              <w:t>9、保证污水处理设备和设施的安全与完整，防止各类事故的发生，如因供应商管理不到位，造成污水排放指标不达标，导致环境监测部门处罚、媒体曝光等对医院造成影响，由此引起的一切经济损失及其他连带责任，由供应商负责，如连续两次造成医院排污超标，医院有权单方面取消合同关系。如若为其他原因引起的处罚双方协商解决。</w:t>
            </w:r>
          </w:p>
          <w:p>
            <w:pPr>
              <w:pStyle w:val="null3"/>
            </w:pPr>
            <w:r>
              <w:rPr>
                <w:rFonts w:ascii="仿宋_GB2312" w:hAnsi="仿宋_GB2312" w:cs="仿宋_GB2312" w:eastAsia="仿宋_GB2312"/>
              </w:rPr>
              <w:t>10、供应商必须服从医院管理，遵守医院的各项管理制度；认真履行各项相应岗位职责，遵守劳动纪律，认真遵守甲乙双方指定的各种规章制度，无条件接受医院各检查部门的检查、监督、考核。</w:t>
            </w:r>
          </w:p>
          <w:p>
            <w:pPr>
              <w:pStyle w:val="null3"/>
            </w:pPr>
            <w:r>
              <w:rPr>
                <w:rFonts w:ascii="仿宋_GB2312" w:hAnsi="仿宋_GB2312" w:cs="仿宋_GB2312" w:eastAsia="仿宋_GB2312"/>
              </w:rPr>
              <w:t>11、供应商应遵守有关的安全规定，采取有效措施保证供应商管理服务人员及构筑物内人员的安全，保护好环境。</w:t>
            </w:r>
          </w:p>
          <w:p>
            <w:pPr>
              <w:pStyle w:val="null3"/>
            </w:pPr>
            <w:r>
              <w:rPr>
                <w:rFonts w:ascii="仿宋_GB2312" w:hAnsi="仿宋_GB2312" w:cs="仿宋_GB2312" w:eastAsia="仿宋_GB2312"/>
              </w:rPr>
              <w:t>12、供应商员工必须具备各相关工作实际操作经验，必须严格按照有关操作规程进行操作。</w:t>
            </w:r>
          </w:p>
          <w:p>
            <w:pPr>
              <w:pStyle w:val="null3"/>
            </w:pPr>
            <w:r>
              <w:rPr>
                <w:rFonts w:ascii="仿宋_GB2312" w:hAnsi="仿宋_GB2312" w:cs="仿宋_GB2312" w:eastAsia="仿宋_GB2312"/>
              </w:rPr>
              <w:t>13、托管期间因设备问题需要停运维修的，需及时向环保部门申报停运手续，并及时维修设备。</w:t>
            </w:r>
          </w:p>
          <w:p>
            <w:pPr>
              <w:pStyle w:val="null3"/>
            </w:pPr>
            <w:r>
              <w:rPr>
                <w:rFonts w:ascii="仿宋_GB2312" w:hAnsi="仿宋_GB2312" w:cs="仿宋_GB2312" w:eastAsia="仿宋_GB2312"/>
              </w:rPr>
              <w:t>14、污水处理工作人员在日常作业中，必须穿着工作服、戴工牌、配置安全作业的工具、劳保用品、防护用品。为保障人员的人身安全及意外保险，供应商应负责员工的工资及劳动保障待遇。</w:t>
            </w:r>
          </w:p>
          <w:p>
            <w:pPr>
              <w:pStyle w:val="null3"/>
            </w:pPr>
            <w:r>
              <w:rPr>
                <w:rFonts w:ascii="仿宋_GB2312" w:hAnsi="仿宋_GB2312" w:cs="仿宋_GB2312" w:eastAsia="仿宋_GB2312"/>
              </w:rPr>
              <w:t>15、运营服务合同到期后，供应商必须将所有资料无条件移交给采购人，且保证资料的真实与完整。</w:t>
            </w:r>
          </w:p>
          <w:p>
            <w:pPr>
              <w:pStyle w:val="null3"/>
            </w:pPr>
            <w:r>
              <w:rPr>
                <w:rFonts w:ascii="仿宋_GB2312" w:hAnsi="仿宋_GB2312" w:cs="仿宋_GB2312" w:eastAsia="仿宋_GB2312"/>
              </w:rPr>
              <w:t>16、医院不保证项目实际发生的业务量，由不可抗力因素导致工作量的减少或增多所带来的风险由供应商自行承担。</w:t>
            </w:r>
          </w:p>
          <w:p>
            <w:pPr>
              <w:pStyle w:val="null3"/>
            </w:pPr>
            <w:r>
              <w:rPr>
                <w:rFonts w:ascii="仿宋_GB2312" w:hAnsi="仿宋_GB2312" w:cs="仿宋_GB2312" w:eastAsia="仿宋_GB2312"/>
              </w:rPr>
              <w:t>17、供应商负责：</w:t>
            </w:r>
          </w:p>
          <w:p>
            <w:pPr>
              <w:pStyle w:val="null3"/>
            </w:pPr>
            <w:r>
              <w:rPr>
                <w:rFonts w:ascii="仿宋_GB2312" w:hAnsi="仿宋_GB2312" w:cs="仿宋_GB2312" w:eastAsia="仿宋_GB2312"/>
              </w:rPr>
              <w:t>①人工费：包括人员节假日加班费、福利、劳保、社会保险、工伤保险、医疗保险等；</w:t>
            </w:r>
          </w:p>
          <w:p>
            <w:pPr>
              <w:pStyle w:val="null3"/>
            </w:pPr>
            <w:r>
              <w:rPr>
                <w:rFonts w:ascii="仿宋_GB2312" w:hAnsi="仿宋_GB2312" w:cs="仿宋_GB2312" w:eastAsia="仿宋_GB2312"/>
              </w:rPr>
              <w:t>②药剂费：包括污水站运维所需药剂的购买及运输费等相关费用；</w:t>
            </w:r>
          </w:p>
          <w:p>
            <w:pPr>
              <w:pStyle w:val="null3"/>
            </w:pPr>
            <w:r>
              <w:rPr>
                <w:rFonts w:ascii="仿宋_GB2312" w:hAnsi="仿宋_GB2312" w:cs="仿宋_GB2312" w:eastAsia="仿宋_GB2312"/>
              </w:rPr>
              <w:t>③污泥处理：包含统一收集，存放在统一指定位置。</w:t>
            </w:r>
          </w:p>
          <w:p>
            <w:pPr>
              <w:pStyle w:val="null3"/>
            </w:pPr>
            <w:r>
              <w:rPr>
                <w:rFonts w:ascii="仿宋_GB2312" w:hAnsi="仿宋_GB2312" w:cs="仿宋_GB2312" w:eastAsia="仿宋_GB2312"/>
              </w:rPr>
              <w:t>④在线监测维护费：包括日常维护费、设备校准、数据上传等。</w:t>
            </w:r>
          </w:p>
          <w:p>
            <w:pPr>
              <w:pStyle w:val="null3"/>
            </w:pPr>
            <w:r>
              <w:rPr>
                <w:rFonts w:ascii="仿宋_GB2312" w:hAnsi="仿宋_GB2312" w:cs="仿宋_GB2312" w:eastAsia="仿宋_GB2312"/>
              </w:rPr>
              <w:t>在线监测的指标主要包括但不限于pH、流量、余氯等，具体以环保部门要求为准。</w:t>
            </w:r>
          </w:p>
          <w:p>
            <w:pPr>
              <w:pStyle w:val="null3"/>
            </w:pPr>
            <w:r>
              <w:rPr>
                <w:rFonts w:ascii="仿宋_GB2312" w:hAnsi="仿宋_GB2312" w:cs="仿宋_GB2312" w:eastAsia="仿宋_GB2312"/>
              </w:rPr>
              <w:t>⑤日常水质检测费用（非第三方检测）；在线设备日常校准及维护；MBR膜系统清洗（1次/季度）；生化系统菌种投加。</w:t>
            </w:r>
          </w:p>
          <w:p>
            <w:pPr>
              <w:pStyle w:val="null3"/>
            </w:pPr>
            <w:r>
              <w:rPr>
                <w:rFonts w:ascii="仿宋_GB2312" w:hAnsi="仿宋_GB2312" w:cs="仿宋_GB2312" w:eastAsia="仿宋_GB2312"/>
              </w:rPr>
              <w:t>⑥负责设备的维修和零配件的更换，两千元以下的单个配件由供应商负责，单次维修和零配件的更换费用为两千元以上的由医院负责或供应商报采购人同意后由供应商购买，医院认质认价验收后给予报销。</w:t>
            </w:r>
          </w:p>
          <w:p>
            <w:pPr>
              <w:pStyle w:val="null3"/>
            </w:pPr>
            <w:r>
              <w:rPr>
                <w:rFonts w:ascii="仿宋_GB2312" w:hAnsi="仿宋_GB2312" w:cs="仿宋_GB2312" w:eastAsia="仿宋_GB2312"/>
              </w:rPr>
              <w:t>四、续约：在合同期内污水处理站运行稳定、设施维护到位、出水达标排放并经检测合格，合同一年一签，经考核合格后可续签合同。（服务期最长不超过3年）</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陕西省结核病防治院污水处理站工作人员现场感控知识培训：</w:t>
            </w:r>
          </w:p>
          <w:p>
            <w:pPr>
              <w:pStyle w:val="null3"/>
            </w:pPr>
            <w:r>
              <w:rPr>
                <w:rFonts w:ascii="仿宋_GB2312" w:hAnsi="仿宋_GB2312" w:cs="仿宋_GB2312" w:eastAsia="仿宋_GB2312"/>
              </w:rPr>
              <w:t>一、培训目的</w:t>
            </w:r>
          </w:p>
          <w:p>
            <w:pPr>
              <w:pStyle w:val="null3"/>
            </w:pPr>
            <w:r>
              <w:rPr>
                <w:rFonts w:ascii="仿宋_GB2312" w:hAnsi="仿宋_GB2312" w:cs="仿宋_GB2312" w:eastAsia="仿宋_GB2312"/>
              </w:rPr>
              <w:t>通过本次培训，使污水处理站工作人员全面掌握工作中的安全防护知识与隔离消毒技能，有效降低接触感染结核杆菌及其他病原体的风险，保障自身健康安全，同时确保医院污水处理工作符合感控标准，防止病原体扩散污染环境。</w:t>
            </w:r>
          </w:p>
          <w:p>
            <w:pPr>
              <w:pStyle w:val="null3"/>
            </w:pPr>
            <w:r>
              <w:rPr>
                <w:rFonts w:ascii="仿宋_GB2312" w:hAnsi="仿宋_GB2312" w:cs="仿宋_GB2312" w:eastAsia="仿宋_GB2312"/>
              </w:rPr>
              <w:t>二、安全防护</w:t>
            </w:r>
          </w:p>
          <w:p>
            <w:pPr>
              <w:pStyle w:val="null3"/>
            </w:pPr>
            <w:r>
              <w:rPr>
                <w:rFonts w:ascii="仿宋_GB2312" w:hAnsi="仿宋_GB2312" w:cs="仿宋_GB2312" w:eastAsia="仿宋_GB2312"/>
              </w:rPr>
              <w:t>（一）个人防护装备（PPE）选择与使用</w:t>
            </w:r>
          </w:p>
          <w:p>
            <w:pPr>
              <w:pStyle w:val="null3"/>
            </w:pPr>
            <w:r>
              <w:rPr>
                <w:rFonts w:ascii="仿宋_GB2312" w:hAnsi="仿宋_GB2312" w:cs="仿宋_GB2312" w:eastAsia="仿宋_GB2312"/>
              </w:rPr>
              <w:t>1.工作服：工作人员进入污水处理站必须穿着专用工作服，工作服应定期清洗消毒，保持清洁。建议采用防水、防渗透、易清洁的材质，长袖长裤设计，减少皮肤暴露。</w:t>
            </w:r>
          </w:p>
          <w:p>
            <w:pPr>
              <w:pStyle w:val="null3"/>
            </w:pPr>
            <w:r>
              <w:rPr>
                <w:rFonts w:ascii="仿宋_GB2312" w:hAnsi="仿宋_GB2312" w:cs="仿宋_GB2312" w:eastAsia="仿宋_GB2312"/>
              </w:rPr>
              <w:t>2.口罩：佩戴医用防护口罩（如N95口罩），其防护等级能够有效过滤结核杆菌等微小颗粒。口罩应贴合面部，确保密封性，使用过程中若出现潮湿、破损或污染，需及时更换，一般每4小时更换一次，污染时随时更换。</w:t>
            </w:r>
          </w:p>
          <w:p>
            <w:pPr>
              <w:pStyle w:val="null3"/>
            </w:pPr>
            <w:r>
              <w:rPr>
                <w:rFonts w:ascii="仿宋_GB2312" w:hAnsi="仿宋_GB2312" w:cs="仿宋_GB2312" w:eastAsia="仿宋_GB2312"/>
              </w:rPr>
              <w:t>3.手套：根据工作内容选择合适的手套，如橡胶手套或丁腈手套。在进行药剂添加、设备维修、污泥处理等操作时必须佩戴，防止皮肤接触污水和污泥中的病原体。手套使用前需检查是否有破损，使用后及时脱下并按医疗废物处理。</w:t>
            </w:r>
          </w:p>
          <w:p>
            <w:pPr>
              <w:pStyle w:val="null3"/>
            </w:pPr>
            <w:r>
              <w:rPr>
                <w:rFonts w:ascii="仿宋_GB2312" w:hAnsi="仿宋_GB2312" w:cs="仿宋_GB2312" w:eastAsia="仿宋_GB2312"/>
              </w:rPr>
              <w:t>4.护目镜或防护面罩：在进行可能产生污水飞溅、气溶胶的操作（如设备检修、污水取样等）时，必须佩戴护目镜或防护面罩，保护眼睛和面部免受污染。使用后用含氯消毒剂擦拭消毒。</w:t>
            </w:r>
          </w:p>
          <w:p>
            <w:pPr>
              <w:pStyle w:val="null3"/>
            </w:pPr>
            <w:r>
              <w:rPr>
                <w:rFonts w:ascii="仿宋_GB2312" w:hAnsi="仿宋_GB2312" w:cs="仿宋_GB2312" w:eastAsia="仿宋_GB2312"/>
              </w:rPr>
              <w:t>5.胶靴：配备防水、防滑的胶靴，避免污水浸湿鞋袜，防止脚部皮肤接触病原体。胶靴使用后应及时清洗并消毒。</w:t>
            </w:r>
          </w:p>
          <w:p>
            <w:pPr>
              <w:pStyle w:val="null3"/>
            </w:pPr>
            <w:r>
              <w:rPr>
                <w:rFonts w:ascii="仿宋_GB2312" w:hAnsi="仿宋_GB2312" w:cs="仿宋_GB2312" w:eastAsia="仿宋_GB2312"/>
              </w:rPr>
              <w:t>6.工作帽：工作期间佩戴一次性工作帽，工作结束后按照医废处理。</w:t>
            </w:r>
          </w:p>
          <w:p>
            <w:pPr>
              <w:pStyle w:val="null3"/>
            </w:pPr>
            <w:r>
              <w:rPr>
                <w:rFonts w:ascii="仿宋_GB2312" w:hAnsi="仿宋_GB2312" w:cs="仿宋_GB2312" w:eastAsia="仿宋_GB2312"/>
              </w:rPr>
              <w:t>（二）操作安全规范</w:t>
            </w:r>
          </w:p>
          <w:p>
            <w:pPr>
              <w:pStyle w:val="null3"/>
            </w:pPr>
            <w:r>
              <w:rPr>
                <w:rFonts w:ascii="仿宋_GB2312" w:hAnsi="仿宋_GB2312" w:cs="仿宋_GB2312" w:eastAsia="仿宋_GB2312"/>
              </w:rPr>
              <w:t>1.设备操作：在操作污水处理设备前，必须检查设备状态，确保设备运行正常。严禁在设备运行过程中进行违规操作，如需维修保养，应先切断电源，并在设备明显位置悬挂“禁止操作”标识。</w:t>
            </w:r>
          </w:p>
          <w:p>
            <w:pPr>
              <w:pStyle w:val="null3"/>
            </w:pPr>
            <w:r>
              <w:rPr>
                <w:rFonts w:ascii="仿宋_GB2312" w:hAnsi="仿宋_GB2312" w:cs="仿宋_GB2312" w:eastAsia="仿宋_GB2312"/>
              </w:rPr>
              <w:t>2.污水取样：取样时应严格按照操作规程进行，使用专用的取样工具，并在取样点上风处操作，避免吸入污水产生的气溶胶。取样后，立即将样品放入密封容器中，并对取样工具进行消毒处理。</w:t>
            </w:r>
          </w:p>
          <w:p>
            <w:pPr>
              <w:pStyle w:val="null3"/>
            </w:pPr>
            <w:r>
              <w:rPr>
                <w:rFonts w:ascii="仿宋_GB2312" w:hAnsi="仿宋_GB2312" w:cs="仿宋_GB2312" w:eastAsia="仿宋_GB2312"/>
              </w:rPr>
              <w:t>3.药剂添加：添加消毒剂、絮凝剂等药剂时，应佩戴好个人防护装备，严格按照药剂使用说明和规定剂量进行添加。操作过程中避免药剂溅洒，若不慎溅到皮肤或眼睛，应立即用大量清水冲洗，并及时就医。</w:t>
            </w:r>
          </w:p>
          <w:p>
            <w:pPr>
              <w:pStyle w:val="null3"/>
            </w:pPr>
            <w:r>
              <w:rPr>
                <w:rFonts w:ascii="仿宋_GB2312" w:hAnsi="仿宋_GB2312" w:cs="仿宋_GB2312" w:eastAsia="仿宋_GB2312"/>
              </w:rPr>
              <w:t>4.污泥处理：污泥中可能含有大量病原体，处理污泥时必须佩戴全套个人防护装备。采用密闭运输方式将污泥运至指定处理场所，运输过程中防止污泥泄漏。处理完污泥后，对运输工具和相关设备进行彻底清洁消毒。</w:t>
            </w:r>
          </w:p>
          <w:p>
            <w:pPr>
              <w:pStyle w:val="null3"/>
            </w:pPr>
            <w:r>
              <w:rPr>
                <w:rFonts w:ascii="仿宋_GB2312" w:hAnsi="仿宋_GB2312" w:cs="仿宋_GB2312" w:eastAsia="仿宋_GB2312"/>
              </w:rPr>
              <w:t>（三）健康监测与管理</w:t>
            </w:r>
          </w:p>
          <w:p>
            <w:pPr>
              <w:pStyle w:val="null3"/>
            </w:pPr>
            <w:r>
              <w:rPr>
                <w:rFonts w:ascii="仿宋_GB2312" w:hAnsi="仿宋_GB2312" w:cs="仿宋_GB2312" w:eastAsia="仿宋_GB2312"/>
              </w:rPr>
              <w:t>1.工作人员应定期进行健康体检，重点检查肺部健康状况，建议每半年进行一次胸部X光或CT检查，及时发现潜在的感染情况。</w:t>
            </w:r>
          </w:p>
          <w:p>
            <w:pPr>
              <w:pStyle w:val="null3"/>
            </w:pPr>
            <w:r>
              <w:rPr>
                <w:rFonts w:ascii="仿宋_GB2312" w:hAnsi="仿宋_GB2312" w:cs="仿宋_GB2312" w:eastAsia="仿宋_GB2312"/>
              </w:rPr>
              <w:t>2.建立个人健康档案，记录每次体检结果和职业暴露情况。若工作人员出现咳嗽、咳痰、低热、乏力等疑似结核病症状，应立即就医，并向单位报告，暂停工作直至排除感染风险。</w:t>
            </w:r>
          </w:p>
          <w:p>
            <w:pPr>
              <w:pStyle w:val="null3"/>
            </w:pPr>
            <w:r>
              <w:rPr>
                <w:rFonts w:ascii="仿宋_GB2312" w:hAnsi="仿宋_GB2312" w:cs="仿宋_GB2312" w:eastAsia="仿宋_GB2312"/>
              </w:rPr>
              <w:t>3.加强工作人员的免疫接种，如未接种过卡介苗且结核菌素试验阴性的工作人员，可在医生建议下接种卡介苗，提高对结核杆菌的免疫力。</w:t>
            </w:r>
          </w:p>
          <w:p>
            <w:pPr>
              <w:pStyle w:val="null3"/>
            </w:pPr>
            <w:r>
              <w:rPr>
                <w:rFonts w:ascii="仿宋_GB2312" w:hAnsi="仿宋_GB2312" w:cs="仿宋_GB2312" w:eastAsia="仿宋_GB2312"/>
              </w:rPr>
              <w:t>三、隔离消毒</w:t>
            </w:r>
          </w:p>
          <w:p>
            <w:pPr>
              <w:pStyle w:val="null3"/>
            </w:pPr>
            <w:r>
              <w:rPr>
                <w:rFonts w:ascii="仿宋_GB2312" w:hAnsi="仿宋_GB2312" w:cs="仿宋_GB2312" w:eastAsia="仿宋_GB2312"/>
              </w:rPr>
              <w:t>（一）区域隔离</w:t>
            </w:r>
          </w:p>
          <w:p>
            <w:pPr>
              <w:pStyle w:val="null3"/>
            </w:pPr>
            <w:r>
              <w:rPr>
                <w:rFonts w:ascii="仿宋_GB2312" w:hAnsi="仿宋_GB2312" w:cs="仿宋_GB2312" w:eastAsia="仿宋_GB2312"/>
              </w:rPr>
              <w:t>1.将污水处理站划分为清洁区、半污染区和污染区，明确各区域的界限和功能。清洁区为工作人员休息、更衣、存放个人物品的区域；半污染区为设备操作、日常巡检区域；污染区为污水储存、处理、污泥存放等区域。</w:t>
            </w:r>
          </w:p>
          <w:p>
            <w:pPr>
              <w:pStyle w:val="null3"/>
            </w:pPr>
            <w:r>
              <w:rPr>
                <w:rFonts w:ascii="仿宋_GB2312" w:hAnsi="仿宋_GB2312" w:cs="仿宋_GB2312" w:eastAsia="仿宋_GB2312"/>
              </w:rPr>
              <w:t>2.工作人员进入不同区域应更换相应的防护装备，避免不同区域的交叉污染。例如，从清洁区进入污染区，必须穿戴好全套防护装备；从污染区返回清洁区，应按照规定的脱卸顺序脱下防护装备，并进行手卫生和全身清洁。</w:t>
            </w:r>
          </w:p>
          <w:p>
            <w:pPr>
              <w:pStyle w:val="null3"/>
            </w:pPr>
            <w:r>
              <w:rPr>
                <w:rFonts w:ascii="仿宋_GB2312" w:hAnsi="仿宋_GB2312" w:cs="仿宋_GB2312" w:eastAsia="仿宋_GB2312"/>
              </w:rPr>
              <w:t>（二）消毒方法与流程</w:t>
            </w:r>
          </w:p>
          <w:p>
            <w:pPr>
              <w:pStyle w:val="null3"/>
            </w:pPr>
            <w:r>
              <w:rPr>
                <w:rFonts w:ascii="仿宋_GB2312" w:hAnsi="仿宋_GB2312" w:cs="仿宋_GB2312" w:eastAsia="仿宋_GB2312"/>
              </w:rPr>
              <w:t>1.污水消毒：根据医院污水的特点和国家相关标准，选择合适的消毒剂（如次氯酸钠、二氧化氯等）进行消毒处理。严格控制消毒剂的投加量和接触时间，确保污水中结核杆菌等病原体被杀灭。定期对消毒后的污水进行检测，监测余氯含量、粪大肠菌群数等指标，保证污水处理达标排放。</w:t>
            </w:r>
          </w:p>
          <w:p>
            <w:pPr>
              <w:pStyle w:val="null3"/>
            </w:pPr>
            <w:r>
              <w:rPr>
                <w:rFonts w:ascii="仿宋_GB2312" w:hAnsi="仿宋_GB2312" w:cs="仿宋_GB2312" w:eastAsia="仿宋_GB2312"/>
              </w:rPr>
              <w:t>2.设备与设施消毒：</w:t>
            </w:r>
          </w:p>
          <w:p>
            <w:pPr>
              <w:pStyle w:val="null3"/>
            </w:pPr>
            <w:r>
              <w:rPr>
                <w:rFonts w:ascii="仿宋_GB2312" w:hAnsi="仿宋_GB2312" w:cs="仿宋_GB2312" w:eastAsia="仿宋_GB2312"/>
              </w:rPr>
              <w:t>污水处理设备：每日对污水处理设备的表面（如泵、阀门、管道等）进行擦拭消毒，使用含氯消毒剂（有效氯浓度500 - 1000mg/L），重点擦拭操作人员经常接触的部位。每周对设备内部进行一次彻底消毒，可采用紫外线照射或化学消毒剂浸泡等方式。</w:t>
            </w:r>
          </w:p>
          <w:p>
            <w:pPr>
              <w:pStyle w:val="null3"/>
            </w:pPr>
            <w:r>
              <w:rPr>
                <w:rFonts w:ascii="仿宋_GB2312" w:hAnsi="仿宋_GB2312" w:cs="仿宋_GB2312" w:eastAsia="仿宋_GB2312"/>
              </w:rPr>
              <w:t>工作场所地面与墙面：每天用含氯消毒剂（有效氯浓度1000mg/L）对地面和墙面进行湿式清扫和消毒，尤其是污染区的地面和墙面，应增加消毒次数。若地面或墙面被污水、污泥污染，应立即用含氯消毒剂（有效氯浓度2000-5000mg/L）进行消毒处理。</w:t>
            </w:r>
          </w:p>
          <w:p>
            <w:pPr>
              <w:pStyle w:val="null3"/>
            </w:pPr>
            <w:r>
              <w:rPr>
                <w:rFonts w:ascii="仿宋_GB2312" w:hAnsi="仿宋_GB2312" w:cs="仿宋_GB2312" w:eastAsia="仿宋_GB2312"/>
              </w:rPr>
              <w:t>工具与容器：污水处理过程中使用的工具（如铁锹、扫帚等）和容器（如污水取样桶、药剂储存桶等），使用后应及时用含氯消毒剂（有效氯浓度1000mg/L）进行浸泡或擦拭消毒，晾干后存放于指定位置。</w:t>
            </w:r>
          </w:p>
          <w:p>
            <w:pPr>
              <w:pStyle w:val="null3"/>
            </w:pPr>
            <w:r>
              <w:rPr>
                <w:rFonts w:ascii="仿宋_GB2312" w:hAnsi="仿宋_GB2312" w:cs="仿宋_GB2312" w:eastAsia="仿宋_GB2312"/>
              </w:rPr>
              <w:t>3.防护用品消毒方法：</w:t>
            </w:r>
          </w:p>
          <w:p>
            <w:pPr>
              <w:pStyle w:val="null3"/>
            </w:pPr>
            <w:r>
              <w:rPr>
                <w:rFonts w:ascii="仿宋_GB2312" w:hAnsi="仿宋_GB2312" w:cs="仿宋_GB2312" w:eastAsia="仿宋_GB2312"/>
              </w:rPr>
              <w:t>工作服：每天工作结束后，将工作服放入专用的收集袋中，采用含氯消毒剂（有效氯浓度500mg/L）进行浸泡消毒30分钟，然后按照常规方式清洗晾干。</w:t>
            </w:r>
          </w:p>
          <w:p>
            <w:pPr>
              <w:pStyle w:val="null3"/>
            </w:pPr>
            <w:r>
              <w:rPr>
                <w:rFonts w:ascii="仿宋_GB2312" w:hAnsi="仿宋_GB2312" w:cs="仿宋_GB2312" w:eastAsia="仿宋_GB2312"/>
              </w:rPr>
              <w:t>口罩、手套等一次性防护用品：使用后按照医疗废物处理，放入专用的黄色医疗废物垃圾袋中，由专人统一收集处理。</w:t>
            </w:r>
          </w:p>
          <w:p>
            <w:pPr>
              <w:pStyle w:val="null3"/>
            </w:pPr>
            <w:r>
              <w:rPr>
                <w:rFonts w:ascii="仿宋_GB2312" w:hAnsi="仿宋_GB2312" w:cs="仿宋_GB2312" w:eastAsia="仿宋_GB2312"/>
              </w:rPr>
              <w:t>护目镜或防护面罩：使用后用含氯消毒剂（有效氯浓度500mg/L）擦拭消毒，晾干后备用。</w:t>
            </w:r>
          </w:p>
          <w:p>
            <w:pPr>
              <w:pStyle w:val="null3"/>
            </w:pPr>
            <w:r>
              <w:rPr>
                <w:rFonts w:ascii="仿宋_GB2312" w:hAnsi="仿宋_GB2312" w:cs="仿宋_GB2312" w:eastAsia="仿宋_GB2312"/>
              </w:rPr>
              <w:t>（三）医疗危废物处理</w:t>
            </w:r>
          </w:p>
          <w:p>
            <w:pPr>
              <w:pStyle w:val="null3"/>
            </w:pPr>
            <w:r>
              <w:rPr>
                <w:rFonts w:ascii="仿宋_GB2312" w:hAnsi="仿宋_GB2312" w:cs="仿宋_GB2312" w:eastAsia="仿宋_GB2312"/>
              </w:rPr>
              <w:t>污水处理过程中产生的污泥、被污染的防护用品等均属于医疗危废物，应严格按照医疗危废物管理规定进行处理。使用专用的医疗危废物收集容器，分类收集医疗废物，并在容器外张贴明显的标识。定期由具备资质的医疗危废物处置单位进行统一收集、运输和处置，做好交接记录，确保医疗危废物不泄漏、不扩散。</w:t>
            </w:r>
          </w:p>
          <w:p>
            <w:pPr>
              <w:pStyle w:val="null3"/>
            </w:pPr>
            <w:r>
              <w:rPr>
                <w:rFonts w:ascii="仿宋_GB2312" w:hAnsi="仿宋_GB2312" w:cs="仿宋_GB2312" w:eastAsia="仿宋_GB2312"/>
              </w:rPr>
              <w:t>四、消毒效果培训</w:t>
            </w:r>
          </w:p>
          <w:p>
            <w:pPr>
              <w:pStyle w:val="null3"/>
            </w:pPr>
            <w:r>
              <w:rPr>
                <w:rFonts w:ascii="仿宋_GB2312" w:hAnsi="仿宋_GB2312" w:cs="仿宋_GB2312" w:eastAsia="仿宋_GB2312"/>
              </w:rPr>
              <w:t>（一）消毒效果监测方法</w:t>
            </w:r>
          </w:p>
          <w:p>
            <w:pPr>
              <w:pStyle w:val="null3"/>
            </w:pPr>
            <w:r>
              <w:rPr>
                <w:rFonts w:ascii="仿宋_GB2312" w:hAnsi="仿宋_GB2312" w:cs="仿宋_GB2312" w:eastAsia="仿宋_GB2312"/>
              </w:rPr>
              <w:t>1.物理监测</w:t>
            </w:r>
          </w:p>
          <w:p>
            <w:pPr>
              <w:pStyle w:val="null3"/>
            </w:pPr>
            <w:r>
              <w:rPr>
                <w:rFonts w:ascii="仿宋_GB2312" w:hAnsi="仿宋_GB2312" w:cs="仿宋_GB2312" w:eastAsia="仿宋_GB2312"/>
              </w:rPr>
              <w:t>对采用热力消毒、紫外线消毒等物理消毒方式的设备，需监测其工作参数。如紫外线消毒设备，应使用紫外线辐照计定期测量紫外线辐照强度，确保其在有效范围内（一般要求在灯管下方垂直1米处，辐照强度≥70μW/cm²），记录设备运行时间、温度、压力等参数，判断消毒设备是否正常运行。</w:t>
            </w:r>
          </w:p>
          <w:p>
            <w:pPr>
              <w:pStyle w:val="null3"/>
            </w:pPr>
            <w:r>
              <w:rPr>
                <w:rFonts w:ascii="仿宋_GB2312" w:hAnsi="仿宋_GB2312" w:cs="仿宋_GB2312" w:eastAsia="仿宋_GB2312"/>
              </w:rPr>
              <w:t>2.化学监测</w:t>
            </w:r>
          </w:p>
          <w:p>
            <w:pPr>
              <w:pStyle w:val="null3"/>
            </w:pPr>
            <w:r>
              <w:rPr>
                <w:rFonts w:ascii="仿宋_GB2312" w:hAnsi="仿宋_GB2312" w:cs="仿宋_GB2312" w:eastAsia="仿宋_GB2312"/>
              </w:rPr>
              <w:t>使用化学指示卡、化学消毒剂浓度试纸等进行监测。例如，含氯消毒剂使用前需用浓度试纸检测有效氯含量，确保其浓度符合规定的消毒浓度要求；在热力消毒过程中，可将化学指示卡放入被消毒物品中，通过指示卡颜色的变化判断是否达到规定的消毒温度和时间。</w:t>
            </w:r>
          </w:p>
          <w:p>
            <w:pPr>
              <w:pStyle w:val="null3"/>
            </w:pPr>
            <w:r>
              <w:rPr>
                <w:rFonts w:ascii="仿宋_GB2312" w:hAnsi="仿宋_GB2312" w:cs="仿宋_GB2312" w:eastAsia="仿宋_GB2312"/>
              </w:rPr>
              <w:t>3.生物监测</w:t>
            </w:r>
          </w:p>
          <w:p>
            <w:pPr>
              <w:pStyle w:val="null3"/>
            </w:pPr>
            <w:r>
              <w:rPr>
                <w:rFonts w:ascii="仿宋_GB2312" w:hAnsi="仿宋_GB2312" w:cs="仿宋_GB2312" w:eastAsia="仿宋_GB2312"/>
              </w:rPr>
              <w:t>定期采集消毒后的污水、设备表面、工作环境等样本进行微生物培养。污水样本主要检测粪大肠菌群数、结核杆菌等指标；设备表面和工作环境样本检测菌落总数、致病菌等。按照国家规定的采样方法和频率，每月至少进行一次生物监测，特殊情况（如设备故障、消毒剂更换等）需增加监测次数。</w:t>
            </w:r>
          </w:p>
          <w:p>
            <w:pPr>
              <w:pStyle w:val="null3"/>
            </w:pPr>
            <w:r>
              <w:rPr>
                <w:rFonts w:ascii="仿宋_GB2312" w:hAnsi="仿宋_GB2312" w:cs="仿宋_GB2312" w:eastAsia="仿宋_GB2312"/>
              </w:rPr>
              <w:t>（二）消毒效果评价标准</w:t>
            </w:r>
          </w:p>
          <w:p>
            <w:pPr>
              <w:pStyle w:val="null3"/>
            </w:pPr>
            <w:r>
              <w:rPr>
                <w:rFonts w:ascii="仿宋_GB2312" w:hAnsi="仿宋_GB2312" w:cs="仿宋_GB2312" w:eastAsia="仿宋_GB2312"/>
              </w:rPr>
              <w:t>1.污水消毒效果</w:t>
            </w:r>
          </w:p>
          <w:p>
            <w:pPr>
              <w:pStyle w:val="null3"/>
            </w:pPr>
            <w:r>
              <w:rPr>
                <w:rFonts w:ascii="仿宋_GB2312" w:hAnsi="仿宋_GB2312" w:cs="仿宋_GB2312" w:eastAsia="仿宋_GB2312"/>
              </w:rPr>
              <w:t>依据《医疗机构水污染物排放标准》（GB 18466-2005），医院污水处理后，粪大肠菌群数应≤500MPN/L，肠道致病菌不得检出，结核杆菌不得检出；接触池出口总余氯量在接触时间≥1.5小时，应达到6.5-10mg/L 。</w:t>
            </w:r>
          </w:p>
          <w:p>
            <w:pPr>
              <w:pStyle w:val="null3"/>
            </w:pPr>
            <w:r>
              <w:rPr>
                <w:rFonts w:ascii="仿宋_GB2312" w:hAnsi="仿宋_GB2312" w:cs="仿宋_GB2312" w:eastAsia="仿宋_GB2312"/>
              </w:rPr>
              <w:t>2.设备与环境消毒效果</w:t>
            </w:r>
          </w:p>
          <w:p>
            <w:pPr>
              <w:pStyle w:val="null3"/>
            </w:pPr>
            <w:r>
              <w:rPr>
                <w:rFonts w:ascii="仿宋_GB2312" w:hAnsi="仿宋_GB2312" w:cs="仿宋_GB2312" w:eastAsia="仿宋_GB2312"/>
              </w:rPr>
              <w:t>设备表面、工作场所地面和墙面等物体表面，经消毒后，菌落总数应≤10CFU/cm²，不得检出致病菌；工具与容器消毒后，同样要求菌落总数达标且无致病菌残留。</w:t>
            </w:r>
          </w:p>
          <w:p>
            <w:pPr>
              <w:pStyle w:val="null3"/>
            </w:pPr>
            <w:r>
              <w:rPr>
                <w:rFonts w:ascii="仿宋_GB2312" w:hAnsi="仿宋_GB2312" w:cs="仿宋_GB2312" w:eastAsia="仿宋_GB2312"/>
              </w:rPr>
              <w:t>（三）影响消毒效果的因素及应对措施</w:t>
            </w:r>
          </w:p>
          <w:p>
            <w:pPr>
              <w:pStyle w:val="null3"/>
            </w:pPr>
            <w:r>
              <w:rPr>
                <w:rFonts w:ascii="仿宋_GB2312" w:hAnsi="仿宋_GB2312" w:cs="仿宋_GB2312" w:eastAsia="仿宋_GB2312"/>
              </w:rPr>
              <w:t>1.消毒剂因素</w:t>
            </w:r>
          </w:p>
          <w:p>
            <w:pPr>
              <w:pStyle w:val="null3"/>
            </w:pPr>
            <w:r>
              <w:rPr>
                <w:rFonts w:ascii="仿宋_GB2312" w:hAnsi="仿宋_GB2312" w:cs="仿宋_GB2312" w:eastAsia="仿宋_GB2312"/>
              </w:rPr>
              <w:t>消毒剂的种类、浓度、作用时间直接影响消毒效果。不同消毒剂对结核杆菌等病原体的杀灭能力不同，需根据实际情况合理选择。使用过程中，要严格按照规定的浓度配制消毒剂，若浓度过低或作用时间不足，将无法有效杀灭病原体。例如，含氯消毒剂在污水消毒中，若浓度低于规定值，可能导致结核杆菌残留。应对措施是加强消毒剂管理，定期检测浓度，确保符合要求。</w:t>
            </w:r>
          </w:p>
          <w:p>
            <w:pPr>
              <w:pStyle w:val="null3"/>
            </w:pPr>
            <w:r>
              <w:rPr>
                <w:rFonts w:ascii="仿宋_GB2312" w:hAnsi="仿宋_GB2312" w:cs="仿宋_GB2312" w:eastAsia="仿宋_GB2312"/>
              </w:rPr>
              <w:t>1.环境因素</w:t>
            </w:r>
          </w:p>
          <w:p>
            <w:pPr>
              <w:pStyle w:val="null3"/>
            </w:pPr>
            <w:r>
              <w:rPr>
                <w:rFonts w:ascii="仿宋_GB2312" w:hAnsi="仿宋_GB2312" w:cs="仿宋_GB2312" w:eastAsia="仿宋_GB2312"/>
              </w:rPr>
              <w:t>污水的pH值、温度、有机物含量等环境因素会干扰消毒效果。如pH值过高或过低，会影响消毒剂的活性；污水中有机物过多，会消耗消毒剂，降低杀菌能力。处理方法是在污水处理过程中，对污水的pH值进行调节，尽量去除污水中的悬浮物和有机物，为消毒创造良好条件。</w:t>
            </w:r>
          </w:p>
          <w:p>
            <w:pPr>
              <w:pStyle w:val="null3"/>
            </w:pPr>
            <w:r>
              <w:rPr>
                <w:rFonts w:ascii="仿宋_GB2312" w:hAnsi="仿宋_GB2312" w:cs="仿宋_GB2312" w:eastAsia="仿宋_GB2312"/>
              </w:rPr>
              <w:t>2.操作因素</w:t>
            </w:r>
          </w:p>
          <w:p>
            <w:pPr>
              <w:pStyle w:val="null3"/>
            </w:pPr>
            <w:r>
              <w:rPr>
                <w:rFonts w:ascii="仿宋_GB2312" w:hAnsi="仿宋_GB2312" w:cs="仿宋_GB2312" w:eastAsia="仿宋_GB2312"/>
              </w:rPr>
              <w:t>工作人员操作不规范，如消毒剂投加不均匀、消毒设备运行参数设置错误等，也会导致消毒效果不佳。需加强操作人员培训，严格规范操作流程，定期对消毒设备进行维护和校准，确保设备正常运行。</w:t>
            </w:r>
          </w:p>
          <w:p>
            <w:pPr>
              <w:pStyle w:val="null3"/>
            </w:pPr>
            <w:r>
              <w:rPr>
                <w:rFonts w:ascii="仿宋_GB2312" w:hAnsi="仿宋_GB2312" w:cs="仿宋_GB2312" w:eastAsia="仿宋_GB2312"/>
              </w:rPr>
              <w:t>（四）消毒效果不达标的处理</w:t>
            </w:r>
          </w:p>
          <w:p>
            <w:pPr>
              <w:pStyle w:val="null3"/>
            </w:pPr>
            <w:r>
              <w:rPr>
                <w:rFonts w:ascii="仿宋_GB2312" w:hAnsi="仿宋_GB2312" w:cs="仿宋_GB2312" w:eastAsia="仿宋_GB2312"/>
              </w:rPr>
              <w:t>若监测发现消毒效果不达标，应立即采取以下措施：</w:t>
            </w:r>
          </w:p>
          <w:p>
            <w:pPr>
              <w:pStyle w:val="null3"/>
            </w:pPr>
            <w:r>
              <w:rPr>
                <w:rFonts w:ascii="仿宋_GB2312" w:hAnsi="仿宋_GB2312" w:cs="仿宋_GB2312" w:eastAsia="仿宋_GB2312"/>
              </w:rPr>
              <w:t>1.重新评估消毒流程，检查消毒剂使用、设备运行、操作规范等环节是否存在问题。</w:t>
            </w:r>
          </w:p>
          <w:p>
            <w:pPr>
              <w:pStyle w:val="null3"/>
            </w:pPr>
            <w:r>
              <w:rPr>
                <w:rFonts w:ascii="仿宋_GB2312" w:hAnsi="仿宋_GB2312" w:cs="仿宋_GB2312" w:eastAsia="仿宋_GB2312"/>
              </w:rPr>
              <w:t>2.对不达标的区域或对象，加大消毒剂用量或延长消毒时间，重新进行消毒处理。</w:t>
            </w:r>
          </w:p>
          <w:p>
            <w:pPr>
              <w:pStyle w:val="null3"/>
            </w:pPr>
            <w:r>
              <w:rPr>
                <w:rFonts w:ascii="仿宋_GB2312" w:hAnsi="仿宋_GB2312" w:cs="仿宋_GB2312" w:eastAsia="仿宋_GB2312"/>
              </w:rPr>
              <w:t>3.分析原因，若是设备故障，及时联系维修人员进行检修；若是操作问题，对相关人员进行再培训。</w:t>
            </w:r>
          </w:p>
          <w:p>
            <w:pPr>
              <w:pStyle w:val="null3"/>
            </w:pPr>
            <w:r>
              <w:rPr>
                <w:rFonts w:ascii="仿宋_GB2312" w:hAnsi="仿宋_GB2312" w:cs="仿宋_GB2312" w:eastAsia="仿宋_GB2312"/>
              </w:rPr>
              <w:t>4.对重新消毒后的样本再次进行监测，直至消毒效果达标。</w:t>
            </w:r>
          </w:p>
          <w:p>
            <w:pPr>
              <w:pStyle w:val="null3"/>
            </w:pPr>
            <w:r>
              <w:rPr>
                <w:rFonts w:ascii="仿宋_GB2312" w:hAnsi="仿宋_GB2312" w:cs="仿宋_GB2312" w:eastAsia="仿宋_GB2312"/>
              </w:rPr>
              <w:t>五、应急处理</w:t>
            </w:r>
          </w:p>
          <w:p>
            <w:pPr>
              <w:pStyle w:val="null3"/>
            </w:pPr>
            <w:r>
              <w:rPr>
                <w:rFonts w:ascii="仿宋_GB2312" w:hAnsi="仿宋_GB2312" w:cs="仿宋_GB2312" w:eastAsia="仿宋_GB2312"/>
              </w:rPr>
              <w:t>1.职业暴露应急处理：若工作人员发生职业暴露（如皮肤被污水污染、针刺伤等），应立即按照以下步骤进行处理：</w:t>
            </w:r>
          </w:p>
          <w:p>
            <w:pPr>
              <w:pStyle w:val="null3"/>
            </w:pPr>
            <w:r>
              <w:rPr>
                <w:rFonts w:ascii="仿宋_GB2312" w:hAnsi="仿宋_GB2312" w:cs="仿宋_GB2312" w:eastAsia="仿宋_GB2312"/>
              </w:rPr>
              <w:t>皮肤暴露：立即用肥皂和流动水清洗污染的皮肤，反复冲洗至少 15 分钟，然后用碘伏或酒精进行消毒。</w:t>
            </w:r>
          </w:p>
          <w:p>
            <w:pPr>
              <w:pStyle w:val="null3"/>
            </w:pPr>
            <w:r>
              <w:rPr>
                <w:rFonts w:ascii="仿宋_GB2312" w:hAnsi="仿宋_GB2312" w:cs="仿宋_GB2312" w:eastAsia="仿宋_GB2312"/>
              </w:rPr>
              <w:t>黏膜暴露：用大量生理盐水或清水冲洗黏膜，至少15分钟。</w:t>
            </w:r>
          </w:p>
          <w:p>
            <w:pPr>
              <w:pStyle w:val="null3"/>
            </w:pPr>
            <w:r>
              <w:rPr>
                <w:rFonts w:ascii="仿宋_GB2312" w:hAnsi="仿宋_GB2312" w:cs="仿宋_GB2312" w:eastAsia="仿宋_GB2312"/>
              </w:rPr>
              <w:t>及时报告单位负责人和医院感染管理部门，根据暴露情况进行风险评估，必要时进行预防性用药和医学观察。</w:t>
            </w:r>
          </w:p>
          <w:p>
            <w:pPr>
              <w:pStyle w:val="null3"/>
            </w:pPr>
            <w:r>
              <w:rPr>
                <w:rFonts w:ascii="仿宋_GB2312" w:hAnsi="仿宋_GB2312" w:cs="仿宋_GB2312" w:eastAsia="仿宋_GB2312"/>
              </w:rPr>
              <w:t>2.设备故障与污水泄漏应急处理：若发生污水处理设备故障导致污水泄漏，应立即启动应急预案：</w:t>
            </w:r>
          </w:p>
          <w:p>
            <w:pPr>
              <w:pStyle w:val="null3"/>
            </w:pPr>
            <w:r>
              <w:rPr>
                <w:rFonts w:ascii="仿宋_GB2312" w:hAnsi="仿宋_GB2312" w:cs="仿宋_GB2312" w:eastAsia="仿宋_GB2312"/>
              </w:rPr>
              <w:t>迅速关闭相关阀门，防止污水进一步泄漏扩散。</w:t>
            </w:r>
          </w:p>
          <w:p>
            <w:pPr>
              <w:pStyle w:val="null3"/>
            </w:pPr>
            <w:r>
              <w:rPr>
                <w:rFonts w:ascii="仿宋_GB2312" w:hAnsi="仿宋_GB2312" w:cs="仿宋_GB2312" w:eastAsia="仿宋_GB2312"/>
              </w:rPr>
              <w:t>穿戴好防护装备，对泄漏的污水进行围堵和收集，使用含氯消毒剂（有效氯浓度2000-5000mg/L）对泄漏区域进行消毒处理。</w:t>
            </w:r>
          </w:p>
          <w:p>
            <w:pPr>
              <w:pStyle w:val="null3"/>
            </w:pPr>
            <w:r>
              <w:rPr>
                <w:rFonts w:ascii="仿宋_GB2312" w:hAnsi="仿宋_GB2312" w:cs="仿宋_GB2312" w:eastAsia="仿宋_GB2312"/>
              </w:rPr>
              <w:t>及时通知相关部门进行设备维修，修复后对污水处理系统进行全面检查和调试，确保正常运行。</w:t>
            </w:r>
          </w:p>
          <w:p>
            <w:pPr>
              <w:pStyle w:val="null3"/>
            </w:pPr>
            <w:r>
              <w:rPr>
                <w:rFonts w:ascii="仿宋_GB2312" w:hAnsi="仿宋_GB2312" w:cs="仿宋_GB2312" w:eastAsia="仿宋_GB2312"/>
              </w:rPr>
              <w:t>六、培训考核</w:t>
            </w:r>
          </w:p>
          <w:p>
            <w:pPr>
              <w:pStyle w:val="null3"/>
            </w:pPr>
            <w:r>
              <w:rPr>
                <w:rFonts w:ascii="仿宋_GB2312" w:hAnsi="仿宋_GB2312" w:cs="仿宋_GB2312" w:eastAsia="仿宋_GB2312"/>
              </w:rPr>
              <w:t>培训结束后，将通过理论考试和实际操作考核相结合的方式，检验工作人员对感控知识和技能的掌握程度。理论考试主要考查安全防护知识、隔离消毒方法、应急处理流程等内容；实际操作考核包括个人防护装备的正确穿戴与脱卸、设备消毒操作、污水取样与处理等。考核合格者方可上岗工作，对考核不合格者进行补考和再培训，直至考核合格。</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按项目需求配置。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按项目需求配置。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自合同签订之日起一年内。</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陕西省结核病防治院指定地点。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考核办法详见附件。验收：按照磋商文件、供应商响应文件及合同文本执行。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合同签订后第一个季度污水处理站运行稳定、设施维护到位、出水达标排放并经检测合格后（若不合格则延迟季度支付）供应商提供合规发票，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合同签订后第二个季度污水处理站运行稳定、设施维护到位、出水达标排放并经检测合格后（若不合格则延迟季度支付）供应商提供合规发票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合同签订后第三个季度污水处理站运行稳定、设施维护到位、出水达标排放并经检测合格后（若不合格则延迟季度支付）供应商提供合规发票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合同签订后第四个季度污水处理站运行稳定、设施维护到位、出水达标排放并经检测合格后（若不合格则延迟季度支付）供应商提供合规发票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 （1）合同签订完后交医院所在地环保部门备案，如污水处理不达标排放，或造成重大污染事故，造成相关部门罚款应由供应商负全部责任并承担排污费及相关罚款。如给第三方造成损失应由供应商全部承担相关责任。 （2）供应商运营期间，保证医院的设备设施完好无损，正常运行，严格按照处理工艺执行，保证污水处理达标。如造成损坏必须在医院规定的时间内彻底整改，费用由乙方承担。 （3）如一方违反有关法律规定或违约，另一方有权解除合同，违约方应赔偿给另一方因违约造成的损失。 争议解决：向有管辖权的人民法院提起诉讼。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3.4.1磋商保证金注意事项：（1）磋商保证金须从供应商户名支付，如从个人户名或非供应商户名支付，将被拒绝，视为自动放弃投标权利（该个人是供应商的情形除外）；以保函形式交纳磋商保证金的，供应商应在响应截止时间前将保函扫描成清晰的PDF文件，发送至邮箱2559647209@qq.com（邮件命名：项目编号），并将保函原件单独递交至代理机构财务；供应商应在磋商文件中附保函复印件。保函必须由具有开具投标保函资格的单位开具；若供应商违约，开具保函单位承担连带责任；（2）磋商保证金的提交金额、时间不满足磋商文件要求的，投标无效；（3）磋商保证金以采购代理机构到账凭证为准，供应商无需更换交纳凭证，由采购代理机构统一提供。（4）未按指定账户提交的，我公司将退回，供应商须在文件递交截止时间前按照指定账户再次提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6月1日以来至少一个月的纳税证明或完税证明，纳税证明或完税证明上应有代收机构或税务机关的公章或业务专用章；其他组织和自然人提供自2024年6月1日以来至少一个月缴纳税收的凭据；依法免税的或者依法不需缴税的供应商应提供相关文件证明； ③社会保障资金缴纳证明：提供自2024年6月1日以来至少一个月已缴纳的社会保障资金的证明（社会保障资金缴存单据或社保机构开具 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3资格证明文件.docx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的有效的2024年度审计报告（成立时间至提交响应文件截止时间不足一年的可提供成立后任意时段的资产负债表），或提交自2024年12月1日以来银行出具的资信证明，或信用担保机构出具的投标担保函（以上三种形式的资料提供任何一种即可）；其他组织和自然人提供银行出具的资信证明或财务报表； 注：此项资格提供“陕西省政府采购供应商信用承诺书”的，可不再提供其他证明文件。供应商需在项目电子化交易系统中按要求上传相应证明文件并进行电子签章。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3资格证明文件.docx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供应商需在项目电子化交易系统中按要求填写《投标函》完成承诺并进行电子签章。提供直接控股和直接管理关系清单。若与其他供应商存在单位负责人为同一人或者存在直接控股、管理关系的，则响应无效。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3资格证明文件.docx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为专门面向中小企业采购，供应商应为中型企业或小型、微型企业或监狱企业或残疾人福利性单位。供应商为中型、小型、微型企业的，提供《中小企业声明函》；供应商为监狱企业的，应提供监狱企业的证明文件；供应商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法定代表人参加磋商的，须提供法定代表人身份证；法定代表人授权本单位他人参加磋商的，须提供法定代表人授权委托书。</w:t>
            </w:r>
          </w:p>
        </w:tc>
        <w:tc>
          <w:tcPr>
            <w:tcW w:type="dxa" w:w="1661"/>
          </w:tcPr>
          <w:p>
            <w:pPr>
              <w:pStyle w:val="null3"/>
            </w:pPr>
            <w:r>
              <w:rPr>
                <w:rFonts w:ascii="仿宋_GB2312" w:hAnsi="仿宋_GB2312" w:cs="仿宋_GB2312" w:eastAsia="仿宋_GB2312"/>
              </w:rPr>
              <w:t>3资格证明文件.docx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本项目不接受联合体投标，不允许分包。供应商应提供《非联合体不分包投标声明》。</w:t>
            </w:r>
          </w:p>
        </w:tc>
        <w:tc>
          <w:tcPr>
            <w:tcW w:type="dxa" w:w="1661"/>
          </w:tcPr>
          <w:p>
            <w:pPr>
              <w:pStyle w:val="null3"/>
            </w:pPr>
            <w:r>
              <w:rPr>
                <w:rFonts w:ascii="仿宋_GB2312" w:hAnsi="仿宋_GB2312" w:cs="仿宋_GB2312" w:eastAsia="仿宋_GB2312"/>
              </w:rPr>
              <w:t>3资格证明文件.docx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响应文件按照磋商文件规定要求签署、盖章的</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报价未超过磋商文件中规定的预算金额和最高限价的</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满足本磋商文件中3.3商务要求中服务期限、服务地点、支付约定要求的</w:t>
            </w:r>
          </w:p>
        </w:tc>
        <w:tc>
          <w:tcPr>
            <w:tcW w:type="dxa" w:w="1661"/>
          </w:tcPr>
          <w:p>
            <w:pPr>
              <w:pStyle w:val="null3"/>
            </w:pPr>
            <w:r>
              <w:rPr>
                <w:rFonts w:ascii="仿宋_GB2312" w:hAnsi="仿宋_GB2312" w:cs="仿宋_GB2312" w:eastAsia="仿宋_GB2312"/>
              </w:rPr>
              <w:t>2商务部分偏离表.docx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投标有效期满足磋商文件要求的</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无法律、法规和磋商文件规定的其他无效情形</w:t>
            </w:r>
          </w:p>
        </w:tc>
        <w:tc>
          <w:tcPr>
            <w:tcW w:type="dxa" w:w="1661"/>
          </w:tcPr>
          <w:p>
            <w:pPr>
              <w:pStyle w:val="null3"/>
            </w:pPr>
            <w:r>
              <w:rPr>
                <w:rFonts w:ascii="仿宋_GB2312" w:hAnsi="仿宋_GB2312" w:cs="仿宋_GB2312" w:eastAsia="仿宋_GB2312"/>
              </w:rPr>
              <w:t>响应文件封面 4承诺书.docx 5服务响应偏离表.docx 1分项价格表.docx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托管运维服务方案</w:t>
            </w:r>
          </w:p>
        </w:tc>
        <w:tc>
          <w:tcPr>
            <w:tcW w:type="dxa" w:w="2492"/>
          </w:tcPr>
          <w:p>
            <w:pPr>
              <w:pStyle w:val="null3"/>
            </w:pPr>
            <w:r>
              <w:rPr>
                <w:rFonts w:ascii="仿宋_GB2312" w:hAnsi="仿宋_GB2312" w:cs="仿宋_GB2312" w:eastAsia="仿宋_GB2312"/>
              </w:rPr>
              <w:t>供应商提供针对本项目的托管运维服务方案，包括但不限于①运维方案总体设计②定期巡检安排③设备日常校准及维护④日常水质检测⑤生化系统菌种投加、污水站药剂投加⑥各类数据收集上报工作等。 满足项目实施需求，无瑕疵：20分； 内容存在1处瑕疵：18分； 内容存在2处瑕疵：16分； 内容存在3处瑕疵：14分； 内容存在4处瑕疵：12分； 内容存在5处瑕疵：10分； 内容存在6处瑕疵：8分； 内容存在7处瑕疵：6分； 内容存在8处瑕疵：4分； 内容存在9处瑕疵：2分； 未提供或内容存在10处及以上瑕疵：0分。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下述评分标准中，针对瑕疵的定义同此处。</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6托管运维服务方案.docx</w:t>
            </w:r>
          </w:p>
        </w:tc>
      </w:tr>
      <w:tr>
        <w:tc>
          <w:tcPr>
            <w:tcW w:type="dxa" w:w="831"/>
            <w:vMerge/>
          </w:tcPr>
          <w:p/>
        </w:tc>
        <w:tc>
          <w:tcPr>
            <w:tcW w:type="dxa" w:w="1661"/>
          </w:tcPr>
          <w:p>
            <w:pPr>
              <w:pStyle w:val="null3"/>
            </w:pPr>
            <w:r>
              <w:rPr>
                <w:rFonts w:ascii="仿宋_GB2312" w:hAnsi="仿宋_GB2312" w:cs="仿宋_GB2312" w:eastAsia="仿宋_GB2312"/>
              </w:rPr>
              <w:t>工作制度</w:t>
            </w:r>
          </w:p>
        </w:tc>
        <w:tc>
          <w:tcPr>
            <w:tcW w:type="dxa" w:w="2492"/>
          </w:tcPr>
          <w:p>
            <w:pPr>
              <w:pStyle w:val="null3"/>
            </w:pPr>
            <w:r>
              <w:rPr>
                <w:rFonts w:ascii="仿宋_GB2312" w:hAnsi="仿宋_GB2312" w:cs="仿宋_GB2312" w:eastAsia="仿宋_GB2312"/>
              </w:rPr>
              <w:t>供应商提供针对本项目制定的管理规章制度，包括①各类工作处理操作流程制度②设备维护保养及维修管理制度③人员值班管理制度等。制度应完整，针对各项内容均有详细描述，贴合本项目特征。 满足项目实施需求，无瑕疵：6分； 内容存在1处瑕疵：5分； 内容存在2处瑕疵：4分； 内容存在3处瑕疵：3分； 内容存在4处瑕疵：2分； 内容存在5处瑕疵：1分； 未提供或内容存在6处及以上瑕疵：0分。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7工作制度.docx</w:t>
            </w:r>
          </w:p>
        </w:tc>
      </w:tr>
      <w:tr>
        <w:tc>
          <w:tcPr>
            <w:tcW w:type="dxa" w:w="831"/>
            <w:vMerge/>
          </w:tcPr>
          <w:p/>
        </w:tc>
        <w:tc>
          <w:tcPr>
            <w:tcW w:type="dxa" w:w="1661"/>
          </w:tcPr>
          <w:p>
            <w:pPr>
              <w:pStyle w:val="null3"/>
            </w:pPr>
            <w:r>
              <w:rPr>
                <w:rFonts w:ascii="仿宋_GB2312" w:hAnsi="仿宋_GB2312" w:cs="仿宋_GB2312" w:eastAsia="仿宋_GB2312"/>
              </w:rPr>
              <w:t>设备仪器</w:t>
            </w:r>
          </w:p>
        </w:tc>
        <w:tc>
          <w:tcPr>
            <w:tcW w:type="dxa" w:w="2492"/>
          </w:tcPr>
          <w:p>
            <w:pPr>
              <w:pStyle w:val="null3"/>
            </w:pPr>
            <w:r>
              <w:rPr>
                <w:rFonts w:ascii="仿宋_GB2312" w:hAnsi="仿宋_GB2312" w:cs="仿宋_GB2312" w:eastAsia="仿宋_GB2312"/>
              </w:rPr>
              <w:t>根据供应商针对本项目提供的拟投入设备仪器清单进行评审，包括但不限于日常现场监测的设备仪器、相关试纸、快速检测设备等，并提供所投入的相关设备仪器照片、信息。 满足项目实施需求，无瑕疵：8分； 内容存在1处瑕疵：7分； 内容存在2处瑕疵：6分； 内容存在3处瑕疵：5分； 内容存在4处瑕疵：4分； 内容存在5处瑕疵：3分； 内容存在6处瑕疵：2分； 内容存在7处瑕疵：1分； 未提供或内容存在8处及以上瑕疵：0分。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8设备仪器.docx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应提供针对本项目的应急预案，应急预案应根据污水处理的工艺进行详细描述。包括但不限于：因客观原因造成的污水进水量超出设计水量、不可抗拒的自然灾害导致污水处理站超负荷运行、水质水量异常时投加的各类药剂等。 满足项目实施需求，无瑕疵：10分； 内容存在1处瑕疵：9分； 内容存在2处瑕疵：8分； 内容存在3处瑕疵：7分； 内容存在4处瑕疵：6分； 内容存在5处瑕疵：5分； 内容存在6处瑕疵：4分； 内容存在7处瑕疵：3分； 内容存在8处瑕疵：2分； 内容存在9处瑕疵：1分； 未提供或内容存在10处及以上瑕疵：0分。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9应急预案.docx</w:t>
            </w:r>
          </w:p>
        </w:tc>
      </w:tr>
      <w:tr>
        <w:tc>
          <w:tcPr>
            <w:tcW w:type="dxa" w:w="831"/>
            <w:vMerge/>
          </w:tcPr>
          <w:p/>
        </w:tc>
        <w:tc>
          <w:tcPr>
            <w:tcW w:type="dxa" w:w="1661"/>
          </w:tcPr>
          <w:p>
            <w:pPr>
              <w:pStyle w:val="null3"/>
            </w:pPr>
            <w:r>
              <w:rPr>
                <w:rFonts w:ascii="仿宋_GB2312" w:hAnsi="仿宋_GB2312" w:cs="仿宋_GB2312" w:eastAsia="仿宋_GB2312"/>
              </w:rPr>
              <w:t>药剂供应保证措施</w:t>
            </w:r>
          </w:p>
        </w:tc>
        <w:tc>
          <w:tcPr>
            <w:tcW w:type="dxa" w:w="2492"/>
          </w:tcPr>
          <w:p>
            <w:pPr>
              <w:pStyle w:val="null3"/>
            </w:pPr>
            <w:r>
              <w:rPr>
                <w:rFonts w:ascii="仿宋_GB2312" w:hAnsi="仿宋_GB2312" w:cs="仿宋_GB2312" w:eastAsia="仿宋_GB2312"/>
              </w:rPr>
              <w:t>供应商提供针对本项目的药剂供应保证措施，根据污水处理站的运行实际情况，充分考虑托管运行风险，制定合理可行的保障措施，同时提供西安市范围内设备库房的相关证明材料或与第三方具备相应条件的药剂供应协议。 满足项目实施需求，无瑕疵：8分； 内容存在1处瑕疵：7分； 内容存在2处瑕疵：6分； 内容存在3处瑕疵：5分； 内容存在4处瑕疵：4分； 内容存在5处瑕疵：3分； 内容存在6处瑕疵：2分； 内容存在7处瑕疵：1分； 未提供或内容存在8处及以上瑕疵：0分。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10药剂供应保证措施.docx</w:t>
            </w:r>
          </w:p>
        </w:tc>
      </w:tr>
      <w:tr>
        <w:tc>
          <w:tcPr>
            <w:tcW w:type="dxa" w:w="831"/>
            <w:vMerge/>
          </w:tcPr>
          <w:p/>
        </w:tc>
        <w:tc>
          <w:tcPr>
            <w:tcW w:type="dxa" w:w="1661"/>
          </w:tcPr>
          <w:p>
            <w:pPr>
              <w:pStyle w:val="null3"/>
            </w:pPr>
            <w:r>
              <w:rPr>
                <w:rFonts w:ascii="仿宋_GB2312" w:hAnsi="仿宋_GB2312" w:cs="仿宋_GB2312" w:eastAsia="仿宋_GB2312"/>
              </w:rPr>
              <w:t>安全保证措施</w:t>
            </w:r>
          </w:p>
        </w:tc>
        <w:tc>
          <w:tcPr>
            <w:tcW w:type="dxa" w:w="2492"/>
          </w:tcPr>
          <w:p>
            <w:pPr>
              <w:pStyle w:val="null3"/>
            </w:pPr>
            <w:r>
              <w:rPr>
                <w:rFonts w:ascii="仿宋_GB2312" w:hAnsi="仿宋_GB2312" w:cs="仿宋_GB2312" w:eastAsia="仿宋_GB2312"/>
              </w:rPr>
              <w:t>供应商提供针对本项目的安全保证措施，包括但不限于：作业制度、员工安全教育与培训、安全事故处理流程、接触有毒有害物质维修时配备的特殊防护服及专用工具（含劳保用品）等。 满足项目实施需求，无瑕疵：10分； 内容存在1处瑕疵：9分； 内容存在2处瑕疵：8分； 内容存在3处瑕疵：7分； 内容存在4处瑕疵：6分； 内容存在5处瑕疵：5分； 内容存在6处瑕疵：4分； 内容存在7处瑕疵：3分； 内容存在8处瑕疵：2分； 内容存在9处瑕疵：1分； 未提供或内容存在10处及以上瑕疵：0分。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11安全保证措施.docx</w:t>
            </w:r>
          </w:p>
        </w:tc>
      </w:tr>
      <w:tr>
        <w:tc>
          <w:tcPr>
            <w:tcW w:type="dxa" w:w="831"/>
            <w:vMerge/>
          </w:tcPr>
          <w:p/>
        </w:tc>
        <w:tc>
          <w:tcPr>
            <w:tcW w:type="dxa" w:w="1661"/>
          </w:tcPr>
          <w:p>
            <w:pPr>
              <w:pStyle w:val="null3"/>
            </w:pPr>
            <w:r>
              <w:rPr>
                <w:rFonts w:ascii="仿宋_GB2312" w:hAnsi="仿宋_GB2312" w:cs="仿宋_GB2312" w:eastAsia="仿宋_GB2312"/>
              </w:rPr>
              <w:t>人员配备①</w:t>
            </w:r>
          </w:p>
        </w:tc>
        <w:tc>
          <w:tcPr>
            <w:tcW w:type="dxa" w:w="2492"/>
          </w:tcPr>
          <w:p>
            <w:pPr>
              <w:pStyle w:val="null3"/>
            </w:pPr>
            <w:r>
              <w:rPr>
                <w:rFonts w:ascii="仿宋_GB2312" w:hAnsi="仿宋_GB2312" w:cs="仿宋_GB2312" w:eastAsia="仿宋_GB2312"/>
              </w:rPr>
              <w:t>供应商提供针对本项目的人员配备计划，提供①人员配置清单，并明确岗位职责划分职责（至少包含技术管理人员1名、运维人员3名）②人员工作经验证明材料。确保人数配备数量满足项目实施需求，岗位职责设置合理、具备各相关工作实际操作经验。 满足项目实施需求，无瑕疵：8分； 内容存在1处瑕疵：7分； 内容存在2处瑕疵：6分； 内容存在3处瑕疵：5分； 内容存在4处瑕疵：4分； 内容存在5处瑕疵：3分； 内容存在6处瑕疵：2分； 内容存在7处瑕疵：1分； 未提供或内容存在8处及以上瑕疵：0分。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12人员配备①.docx</w:t>
            </w:r>
          </w:p>
        </w:tc>
      </w:tr>
      <w:tr>
        <w:tc>
          <w:tcPr>
            <w:tcW w:type="dxa" w:w="831"/>
            <w:vMerge/>
          </w:tcPr>
          <w:p/>
        </w:tc>
        <w:tc>
          <w:tcPr>
            <w:tcW w:type="dxa" w:w="1661"/>
          </w:tcPr>
          <w:p>
            <w:pPr>
              <w:pStyle w:val="null3"/>
            </w:pPr>
            <w:r>
              <w:rPr>
                <w:rFonts w:ascii="仿宋_GB2312" w:hAnsi="仿宋_GB2312" w:cs="仿宋_GB2312" w:eastAsia="仿宋_GB2312"/>
              </w:rPr>
              <w:t>人员配备②</w:t>
            </w:r>
          </w:p>
        </w:tc>
        <w:tc>
          <w:tcPr>
            <w:tcW w:type="dxa" w:w="2492"/>
          </w:tcPr>
          <w:p>
            <w:pPr>
              <w:pStyle w:val="null3"/>
            </w:pPr>
            <w:r>
              <w:rPr>
                <w:rFonts w:ascii="仿宋_GB2312" w:hAnsi="仿宋_GB2312" w:cs="仿宋_GB2312" w:eastAsia="仿宋_GB2312"/>
              </w:rPr>
              <w:t>项目技术管理人员具备环保工程类专业高级工程师证书，计3分。 注：须提供人员身份证、以及职称证书、以及人员劳动合同或本单位的社保缴纳证明或在职证明，否则不予认定。</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13人员配备②.docx</w:t>
            </w:r>
          </w:p>
        </w:tc>
      </w:tr>
      <w:tr>
        <w:tc>
          <w:tcPr>
            <w:tcW w:type="dxa" w:w="831"/>
            <w:vMerge/>
          </w:tcPr>
          <w:p/>
        </w:tc>
        <w:tc>
          <w:tcPr>
            <w:tcW w:type="dxa" w:w="1661"/>
          </w:tcPr>
          <w:p>
            <w:pPr>
              <w:pStyle w:val="null3"/>
            </w:pPr>
            <w:r>
              <w:rPr>
                <w:rFonts w:ascii="仿宋_GB2312" w:hAnsi="仿宋_GB2312" w:cs="仿宋_GB2312" w:eastAsia="仿宋_GB2312"/>
              </w:rPr>
              <w:t>服务沟通方案</w:t>
            </w:r>
          </w:p>
        </w:tc>
        <w:tc>
          <w:tcPr>
            <w:tcW w:type="dxa" w:w="2492"/>
          </w:tcPr>
          <w:p>
            <w:pPr>
              <w:pStyle w:val="null3"/>
            </w:pPr>
            <w:r>
              <w:rPr>
                <w:rFonts w:ascii="仿宋_GB2312" w:hAnsi="仿宋_GB2312" w:cs="仿宋_GB2312" w:eastAsia="仿宋_GB2312"/>
              </w:rPr>
              <w:t>供应商提供针对本项目的服务沟通方案，包括①运维服务过程中与采购人的沟通②与周边社区居民的沟通③与政府主管单位的沟通协调。 满足项目实施需求，无瑕疵：6分； 内容存在1处瑕疵：5分； 内容存在2处瑕疵：4分； 内容存在3处瑕疵：3分； 内容存在4处瑕疵：2分； 内容存在5处瑕疵：1分； 未提供或内容存在6处及以上瑕疵：0分。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14服务沟通方案.docx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根据本项目的服务内容，做出切实可行的服务承诺，①设施运行中出现的故障等问题承诺2小时内到达现场排查原因②运维过程中发生水质污染物超标，一切责任及产生的费用和罚款均由供应商承担③运营服务合同到期后，供应商必须将所有资料无条件移交给采购人，且保证资料的真实与完整。 每提供上述一项承诺计2分，满分6分。 注：须提供承诺函，并加盖供应商公章。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15服务承诺.docx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供应商具有2022年1月1日以来（时间以合同签订时间为准）同类项目业绩，每提供一个合同得1分，满分5分。 注：响应文件需要同时提供合同首页、服务内容页、盖章页复印件，时间以合同签订时间为准，否则不得分。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16业绩.docx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 即满足磋商文件要求且价格最低的报价为磋商基准价，其价格分为满分。其他响应单位的价格分统一按照下列公式计算： 磋商报价得分=（评标基准价/磋商报价）×价格权值×100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详见附件：1分项价格表.docx</w:t>
      </w:r>
    </w:p>
    <w:p>
      <w:pPr>
        <w:pStyle w:val="null3"/>
        <w:ind w:firstLine="960"/>
      </w:pPr>
      <w:r>
        <w:rPr>
          <w:rFonts w:ascii="仿宋_GB2312" w:hAnsi="仿宋_GB2312" w:cs="仿宋_GB2312" w:eastAsia="仿宋_GB2312"/>
        </w:rPr>
        <w:t>详见附件：2商务部分偏离表.docx</w:t>
      </w:r>
    </w:p>
    <w:p>
      <w:pPr>
        <w:pStyle w:val="null3"/>
        <w:ind w:firstLine="960"/>
      </w:pPr>
      <w:r>
        <w:rPr>
          <w:rFonts w:ascii="仿宋_GB2312" w:hAnsi="仿宋_GB2312" w:cs="仿宋_GB2312" w:eastAsia="仿宋_GB2312"/>
        </w:rPr>
        <w:t>详见附件：3资格证明文件.docx</w:t>
      </w:r>
    </w:p>
    <w:p>
      <w:pPr>
        <w:pStyle w:val="null3"/>
        <w:ind w:firstLine="960"/>
      </w:pPr>
      <w:r>
        <w:rPr>
          <w:rFonts w:ascii="仿宋_GB2312" w:hAnsi="仿宋_GB2312" w:cs="仿宋_GB2312" w:eastAsia="仿宋_GB2312"/>
        </w:rPr>
        <w:t>详见附件：4承诺书.docx</w:t>
      </w:r>
    </w:p>
    <w:p>
      <w:pPr>
        <w:pStyle w:val="null3"/>
        <w:ind w:firstLine="960"/>
      </w:pPr>
      <w:r>
        <w:rPr>
          <w:rFonts w:ascii="仿宋_GB2312" w:hAnsi="仿宋_GB2312" w:cs="仿宋_GB2312" w:eastAsia="仿宋_GB2312"/>
        </w:rPr>
        <w:t>详见附件：5服务响应偏离表.docx</w:t>
      </w:r>
    </w:p>
    <w:p>
      <w:pPr>
        <w:pStyle w:val="null3"/>
        <w:ind w:firstLine="960"/>
      </w:pPr>
      <w:r>
        <w:rPr>
          <w:rFonts w:ascii="仿宋_GB2312" w:hAnsi="仿宋_GB2312" w:cs="仿宋_GB2312" w:eastAsia="仿宋_GB2312"/>
        </w:rPr>
        <w:t>详见附件：6托管运维服务方案.docx</w:t>
      </w:r>
    </w:p>
    <w:p>
      <w:pPr>
        <w:pStyle w:val="null3"/>
        <w:ind w:firstLine="960"/>
      </w:pPr>
      <w:r>
        <w:rPr>
          <w:rFonts w:ascii="仿宋_GB2312" w:hAnsi="仿宋_GB2312" w:cs="仿宋_GB2312" w:eastAsia="仿宋_GB2312"/>
        </w:rPr>
        <w:t>详见附件：7工作制度.docx</w:t>
      </w:r>
    </w:p>
    <w:p>
      <w:pPr>
        <w:pStyle w:val="null3"/>
        <w:ind w:firstLine="960"/>
      </w:pPr>
      <w:r>
        <w:rPr>
          <w:rFonts w:ascii="仿宋_GB2312" w:hAnsi="仿宋_GB2312" w:cs="仿宋_GB2312" w:eastAsia="仿宋_GB2312"/>
        </w:rPr>
        <w:t>详见附件：8设备仪器.docx</w:t>
      </w:r>
    </w:p>
    <w:p>
      <w:pPr>
        <w:pStyle w:val="null3"/>
        <w:ind w:firstLine="960"/>
      </w:pPr>
      <w:r>
        <w:rPr>
          <w:rFonts w:ascii="仿宋_GB2312" w:hAnsi="仿宋_GB2312" w:cs="仿宋_GB2312" w:eastAsia="仿宋_GB2312"/>
        </w:rPr>
        <w:t>详见附件：10药剂供应保证措施.docx</w:t>
      </w:r>
    </w:p>
    <w:p>
      <w:pPr>
        <w:pStyle w:val="null3"/>
        <w:ind w:firstLine="960"/>
      </w:pPr>
      <w:r>
        <w:rPr>
          <w:rFonts w:ascii="仿宋_GB2312" w:hAnsi="仿宋_GB2312" w:cs="仿宋_GB2312" w:eastAsia="仿宋_GB2312"/>
        </w:rPr>
        <w:t>详见附件：9应急预案.docx</w:t>
      </w:r>
    </w:p>
    <w:p>
      <w:pPr>
        <w:pStyle w:val="null3"/>
        <w:ind w:firstLine="960"/>
      </w:pPr>
      <w:r>
        <w:rPr>
          <w:rFonts w:ascii="仿宋_GB2312" w:hAnsi="仿宋_GB2312" w:cs="仿宋_GB2312" w:eastAsia="仿宋_GB2312"/>
        </w:rPr>
        <w:t>详见附件：11安全保证措施.docx</w:t>
      </w:r>
    </w:p>
    <w:p>
      <w:pPr>
        <w:pStyle w:val="null3"/>
        <w:ind w:firstLine="960"/>
      </w:pPr>
      <w:r>
        <w:rPr>
          <w:rFonts w:ascii="仿宋_GB2312" w:hAnsi="仿宋_GB2312" w:cs="仿宋_GB2312" w:eastAsia="仿宋_GB2312"/>
        </w:rPr>
        <w:t>详见附件：12人员配备①.docx</w:t>
      </w:r>
    </w:p>
    <w:p>
      <w:pPr>
        <w:pStyle w:val="null3"/>
        <w:ind w:firstLine="960"/>
      </w:pPr>
      <w:r>
        <w:rPr>
          <w:rFonts w:ascii="仿宋_GB2312" w:hAnsi="仿宋_GB2312" w:cs="仿宋_GB2312" w:eastAsia="仿宋_GB2312"/>
        </w:rPr>
        <w:t>详见附件：13人员配备②.docx</w:t>
      </w:r>
    </w:p>
    <w:p>
      <w:pPr>
        <w:pStyle w:val="null3"/>
        <w:ind w:firstLine="960"/>
      </w:pPr>
      <w:r>
        <w:rPr>
          <w:rFonts w:ascii="仿宋_GB2312" w:hAnsi="仿宋_GB2312" w:cs="仿宋_GB2312" w:eastAsia="仿宋_GB2312"/>
        </w:rPr>
        <w:t>详见附件：14服务沟通方案.docx</w:t>
      </w:r>
    </w:p>
    <w:p>
      <w:pPr>
        <w:pStyle w:val="null3"/>
        <w:ind w:firstLine="960"/>
      </w:pPr>
      <w:r>
        <w:rPr>
          <w:rFonts w:ascii="仿宋_GB2312" w:hAnsi="仿宋_GB2312" w:cs="仿宋_GB2312" w:eastAsia="仿宋_GB2312"/>
        </w:rPr>
        <w:t>详见附件：15服务承诺.docx</w:t>
      </w:r>
    </w:p>
    <w:p>
      <w:pPr>
        <w:pStyle w:val="null3"/>
        <w:ind w:firstLine="960"/>
      </w:pPr>
      <w:r>
        <w:rPr>
          <w:rFonts w:ascii="仿宋_GB2312" w:hAnsi="仿宋_GB2312" w:cs="仿宋_GB2312" w:eastAsia="仿宋_GB2312"/>
        </w:rPr>
        <w:t>详见附件：16业绩.docx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