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15B2B">
      <w:pPr>
        <w:pStyle w:val="15"/>
        <w:jc w:val="center"/>
        <w:rPr>
          <w:rFonts w:hint="eastAsia" w:ascii="宋体" w:hAnsi="宋体" w:eastAsia="宋体" w:cs="宋体"/>
          <w:color w:val="auto"/>
          <w:sz w:val="52"/>
          <w:szCs w:val="52"/>
          <w:highlight w:val="none"/>
          <w:lang w:val="en-US" w:eastAsia="zh-CN"/>
        </w:rPr>
      </w:pPr>
      <w:r>
        <w:rPr>
          <w:rFonts w:hint="eastAsia" w:ascii="宋体" w:hAnsi="宋体" w:eastAsia="宋体" w:cs="宋体"/>
          <w:color w:val="auto"/>
          <w:sz w:val="52"/>
          <w:szCs w:val="52"/>
          <w:highlight w:val="none"/>
          <w:lang w:val="en-US" w:eastAsia="zh-CN"/>
        </w:rPr>
        <w:t>污水处理站运维托管</w:t>
      </w:r>
    </w:p>
    <w:p w14:paraId="3A0E1978">
      <w:pPr>
        <w:pStyle w:val="15"/>
        <w:jc w:val="center"/>
        <w:rPr>
          <w:rFonts w:hint="eastAsia" w:ascii="宋体" w:hAnsi="宋体" w:eastAsia="宋体" w:cs="宋体"/>
          <w:color w:val="auto"/>
          <w:sz w:val="52"/>
          <w:szCs w:val="52"/>
          <w:highlight w:val="none"/>
          <w:lang w:val="en-US" w:eastAsia="zh-CN"/>
        </w:rPr>
      </w:pPr>
      <w:r>
        <w:rPr>
          <w:rFonts w:hint="eastAsia" w:ascii="宋体" w:hAnsi="宋体" w:eastAsia="宋体" w:cs="宋体"/>
          <w:color w:val="auto"/>
          <w:sz w:val="52"/>
          <w:szCs w:val="52"/>
          <w:highlight w:val="none"/>
          <w:lang w:val="en-US" w:eastAsia="zh-CN"/>
        </w:rPr>
        <w:t>服务合同</w:t>
      </w:r>
    </w:p>
    <w:p w14:paraId="6F944D46">
      <w:pPr>
        <w:pStyle w:val="15"/>
        <w:jc w:val="center"/>
        <w:rPr>
          <w:rFonts w:hint="eastAsia" w:ascii="宋体" w:hAnsi="宋体" w:eastAsia="宋体" w:cs="宋体"/>
          <w:color w:val="auto"/>
          <w:sz w:val="44"/>
          <w:szCs w:val="44"/>
          <w:highlight w:val="none"/>
          <w:lang w:val="en-US" w:eastAsia="zh-CN"/>
        </w:rPr>
      </w:pPr>
    </w:p>
    <w:p w14:paraId="34E8A7E0">
      <w:pPr>
        <w:pStyle w:val="15"/>
        <w:jc w:val="center"/>
        <w:rPr>
          <w:rFonts w:hint="eastAsia" w:ascii="宋体" w:hAnsi="宋体" w:eastAsia="宋体" w:cs="宋体"/>
          <w:color w:val="auto"/>
          <w:sz w:val="44"/>
          <w:szCs w:val="44"/>
          <w:highlight w:val="none"/>
          <w:lang w:val="en-US" w:eastAsia="zh-CN"/>
        </w:rPr>
      </w:pPr>
    </w:p>
    <w:p w14:paraId="0CA32471">
      <w:pPr>
        <w:pStyle w:val="15"/>
        <w:jc w:val="center"/>
        <w:rPr>
          <w:rFonts w:hint="eastAsia" w:ascii="宋体" w:hAnsi="宋体" w:eastAsia="宋体" w:cs="宋体"/>
          <w:color w:val="auto"/>
          <w:sz w:val="44"/>
          <w:szCs w:val="44"/>
          <w:highlight w:val="none"/>
          <w:lang w:val="en-US" w:eastAsia="zh-CN"/>
        </w:rPr>
      </w:pPr>
    </w:p>
    <w:p w14:paraId="7B881BFD">
      <w:pPr>
        <w:pStyle w:val="15"/>
        <w:jc w:val="center"/>
        <w:rPr>
          <w:rFonts w:hint="eastAsia" w:ascii="宋体" w:hAnsi="宋体" w:eastAsia="宋体" w:cs="宋体"/>
          <w:color w:val="auto"/>
          <w:sz w:val="44"/>
          <w:szCs w:val="44"/>
          <w:highlight w:val="none"/>
          <w:lang w:val="en-US" w:eastAsia="zh-CN"/>
        </w:rPr>
      </w:pPr>
    </w:p>
    <w:p w14:paraId="4EE4A6E6">
      <w:pPr>
        <w:pStyle w:val="15"/>
        <w:jc w:val="center"/>
        <w:rPr>
          <w:rFonts w:hint="eastAsia" w:ascii="宋体" w:hAnsi="宋体" w:eastAsia="宋体" w:cs="宋体"/>
          <w:color w:val="auto"/>
          <w:sz w:val="44"/>
          <w:szCs w:val="44"/>
          <w:highlight w:val="none"/>
          <w:lang w:val="en-US" w:eastAsia="zh-CN"/>
        </w:rPr>
      </w:pPr>
    </w:p>
    <w:p w14:paraId="6EE3B406">
      <w:pPr>
        <w:pStyle w:val="15"/>
        <w:jc w:val="both"/>
        <w:rPr>
          <w:rFonts w:hint="eastAsia" w:ascii="宋体" w:hAnsi="宋体" w:eastAsia="宋体" w:cs="宋体"/>
          <w:color w:val="auto"/>
          <w:sz w:val="32"/>
          <w:szCs w:val="32"/>
          <w:highlight w:val="none"/>
        </w:rPr>
      </w:pPr>
    </w:p>
    <w:p w14:paraId="20CF698D">
      <w:pPr>
        <w:pStyle w:val="15"/>
        <w:jc w:val="both"/>
        <w:rPr>
          <w:rFonts w:hint="eastAsia" w:ascii="宋体" w:hAnsi="宋体" w:eastAsia="宋体" w:cs="宋体"/>
          <w:color w:val="auto"/>
          <w:sz w:val="32"/>
          <w:szCs w:val="32"/>
          <w:highlight w:val="none"/>
        </w:rPr>
      </w:pPr>
    </w:p>
    <w:p w14:paraId="673E5277">
      <w:pPr>
        <w:pStyle w:val="15"/>
        <w:jc w:val="both"/>
        <w:rPr>
          <w:rFonts w:hint="eastAsia" w:ascii="宋体" w:hAnsi="宋体" w:eastAsia="宋体" w:cs="宋体"/>
          <w:color w:val="auto"/>
          <w:sz w:val="32"/>
          <w:szCs w:val="32"/>
          <w:highlight w:val="none"/>
        </w:rPr>
      </w:pPr>
    </w:p>
    <w:p w14:paraId="3E8D2998">
      <w:pPr>
        <w:pStyle w:val="15"/>
        <w:jc w:val="both"/>
        <w:rPr>
          <w:rFonts w:hint="eastAsia" w:ascii="宋体" w:hAnsi="宋体" w:eastAsia="宋体" w:cs="宋体"/>
          <w:bCs/>
          <w:color w:val="auto"/>
          <w:sz w:val="36"/>
          <w:szCs w:val="36"/>
          <w:highlight w:val="none"/>
          <w:lang w:val="en-US" w:eastAsia="zh-CN"/>
        </w:rPr>
      </w:pPr>
      <w:r>
        <w:rPr>
          <w:rFonts w:hint="eastAsia" w:ascii="宋体" w:hAnsi="宋体" w:eastAsia="宋体" w:cs="宋体"/>
          <w:color w:val="auto"/>
          <w:sz w:val="36"/>
          <w:szCs w:val="36"/>
          <w:highlight w:val="none"/>
        </w:rPr>
        <w:t>甲方：</w:t>
      </w:r>
    </w:p>
    <w:p w14:paraId="1CB37044">
      <w:pPr>
        <w:pStyle w:val="15"/>
        <w:jc w:val="both"/>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乙方：</w:t>
      </w:r>
    </w:p>
    <w:p w14:paraId="470F5555">
      <w:pPr>
        <w:pStyle w:val="15"/>
        <w:jc w:val="center"/>
        <w:rPr>
          <w:rFonts w:hint="eastAsia" w:ascii="宋体" w:hAnsi="宋体" w:eastAsia="宋体" w:cs="宋体"/>
          <w:color w:val="auto"/>
          <w:sz w:val="44"/>
          <w:szCs w:val="44"/>
          <w:highlight w:val="none"/>
          <w:lang w:val="en-US" w:eastAsia="zh-CN"/>
        </w:rPr>
      </w:pPr>
    </w:p>
    <w:p w14:paraId="4E4A8EBE">
      <w:pPr>
        <w:pStyle w:val="15"/>
        <w:jc w:val="center"/>
        <w:rPr>
          <w:rFonts w:hint="eastAsia" w:ascii="宋体" w:hAnsi="宋体" w:eastAsia="宋体" w:cs="宋体"/>
          <w:color w:val="auto"/>
          <w:sz w:val="44"/>
          <w:szCs w:val="44"/>
          <w:highlight w:val="none"/>
          <w:lang w:val="en-US" w:eastAsia="zh-CN"/>
        </w:rPr>
      </w:pPr>
    </w:p>
    <w:p w14:paraId="37121F3D">
      <w:pPr>
        <w:pStyle w:val="15"/>
        <w:jc w:val="center"/>
        <w:rPr>
          <w:rFonts w:hint="eastAsia" w:ascii="宋体" w:hAnsi="宋体" w:eastAsia="宋体" w:cs="宋体"/>
          <w:color w:val="auto"/>
          <w:sz w:val="36"/>
          <w:szCs w:val="36"/>
          <w:highlight w:val="none"/>
          <w:lang w:val="en-US" w:eastAsia="zh-CN"/>
        </w:rPr>
        <w:sectPr>
          <w:footerReference r:id="rId5" w:type="default"/>
          <w:pgSz w:w="11906" w:h="16838"/>
          <w:pgMar w:top="1440" w:right="1800" w:bottom="1440" w:left="1800" w:header="851" w:footer="992" w:gutter="0"/>
          <w:pgNumType w:fmt="decimal" w:start="1"/>
          <w:cols w:space="720" w:num="1"/>
          <w:docGrid w:type="lines" w:linePitch="312" w:charSpace="0"/>
        </w:sectPr>
      </w:pPr>
      <w:r>
        <w:rPr>
          <w:rFonts w:hint="eastAsia" w:ascii="宋体" w:hAnsi="宋体" w:eastAsia="宋体" w:cs="宋体"/>
          <w:color w:val="auto"/>
          <w:sz w:val="36"/>
          <w:szCs w:val="36"/>
          <w:highlight w:val="none"/>
          <w:lang w:val="en-US" w:eastAsia="zh-CN"/>
        </w:rPr>
        <w:t>时 间：   年  月</w:t>
      </w:r>
    </w:p>
    <w:p w14:paraId="7643C338">
      <w:pPr>
        <w:pStyle w:val="15"/>
        <w:jc w:val="both"/>
        <w:rPr>
          <w:rFonts w:hint="eastAsia" w:ascii="宋体" w:hAnsi="宋体" w:eastAsia="宋体" w:cs="宋体"/>
          <w:bCs/>
          <w:color w:val="auto"/>
          <w:sz w:val="32"/>
          <w:szCs w:val="32"/>
          <w:highlight w:val="none"/>
          <w:lang w:val="en-US" w:eastAsia="zh-CN"/>
        </w:rPr>
      </w:pPr>
      <w:r>
        <w:rPr>
          <w:rFonts w:hint="eastAsia" w:ascii="宋体" w:hAnsi="宋体" w:eastAsia="宋体" w:cs="宋体"/>
          <w:color w:val="auto"/>
          <w:sz w:val="32"/>
          <w:szCs w:val="32"/>
          <w:highlight w:val="none"/>
        </w:rPr>
        <w:t>甲方：</w:t>
      </w:r>
    </w:p>
    <w:p w14:paraId="051CC635">
      <w:pPr>
        <w:pStyle w:val="15"/>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乙方：</w:t>
      </w:r>
    </w:p>
    <w:p w14:paraId="34C07FA1">
      <w:pPr>
        <w:spacing w:line="560" w:lineRule="exact"/>
        <w:ind w:firstLine="640" w:firstLineChars="200"/>
        <w:textAlignment w:val="baseline"/>
        <w:rPr>
          <w:rFonts w:hint="eastAsia" w:ascii="宋体" w:hAnsi="宋体" w:eastAsia="宋体" w:cs="宋体"/>
          <w:color w:val="auto"/>
          <w:spacing w:val="10"/>
          <w:sz w:val="30"/>
          <w:szCs w:val="30"/>
          <w:highlight w:val="none"/>
        </w:rPr>
      </w:pPr>
      <w:r>
        <w:rPr>
          <w:rFonts w:hint="eastAsia" w:ascii="宋体" w:hAnsi="宋体" w:eastAsia="宋体" w:cs="宋体"/>
          <w:color w:val="auto"/>
          <w:spacing w:val="10"/>
          <w:sz w:val="30"/>
          <w:szCs w:val="30"/>
          <w:highlight w:val="none"/>
        </w:rPr>
        <w:t>为提高污水处理设施运行效率，保护水资源环境，甲乙双方根据《中华人民共和国政府采购法》、《中华人民共和国民法典》《中华人民共和国环境保护法》、以及</w:t>
      </w:r>
      <w:r>
        <w:rPr>
          <w:rFonts w:hint="eastAsia" w:ascii="宋体" w:hAnsi="宋体" w:eastAsia="宋体" w:cs="宋体"/>
          <w:color w:val="auto"/>
          <w:sz w:val="30"/>
          <w:szCs w:val="30"/>
          <w:highlight w:val="none"/>
        </w:rPr>
        <w:t>国家生态环境部有关环保设施运营管理的规定及其他有关法律法规，</w:t>
      </w:r>
      <w:r>
        <w:rPr>
          <w:rFonts w:hint="eastAsia" w:ascii="宋体" w:hAnsi="宋体" w:eastAsia="宋体" w:cs="宋体"/>
          <w:color w:val="auto"/>
          <w:spacing w:val="10"/>
          <w:sz w:val="30"/>
          <w:szCs w:val="30"/>
          <w:highlight w:val="none"/>
        </w:rPr>
        <w:t>遵循平等、自愿、公平和诚实信用的原则，就</w:t>
      </w:r>
      <w:r>
        <w:rPr>
          <w:rFonts w:hint="eastAsia" w:ascii="宋体" w:hAnsi="宋体" w:eastAsia="宋体" w:cs="宋体"/>
          <w:color w:val="auto"/>
          <w:sz w:val="30"/>
          <w:szCs w:val="30"/>
          <w:highlight w:val="none"/>
          <w:shd w:val="clear" w:color="auto" w:fill="FFFFFF"/>
        </w:rPr>
        <w:t>污水处理站运维项目</w:t>
      </w:r>
      <w:r>
        <w:rPr>
          <w:rFonts w:hint="eastAsia" w:ascii="宋体" w:hAnsi="宋体" w:eastAsia="宋体" w:cs="宋体"/>
          <w:color w:val="auto"/>
          <w:spacing w:val="10"/>
          <w:sz w:val="30"/>
          <w:szCs w:val="30"/>
          <w:highlight w:val="none"/>
        </w:rPr>
        <w:t>达成一致，签订本合同，以便共同遵守。</w:t>
      </w:r>
    </w:p>
    <w:p w14:paraId="51E8A15B">
      <w:pPr>
        <w:spacing w:line="60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一、委托内容</w:t>
      </w:r>
    </w:p>
    <w:p w14:paraId="07CE919E">
      <w:pPr>
        <w:spacing w:line="560" w:lineRule="exact"/>
        <w:ind w:firstLine="640" w:firstLineChars="200"/>
        <w:textAlignment w:val="baseline"/>
        <w:rPr>
          <w:rFonts w:hint="eastAsia" w:ascii="宋体" w:hAnsi="宋体" w:eastAsia="宋体" w:cs="宋体"/>
          <w:color w:val="auto"/>
          <w:spacing w:val="10"/>
          <w:sz w:val="30"/>
          <w:szCs w:val="30"/>
          <w:highlight w:val="none"/>
          <w:lang w:val="en-US" w:eastAsia="zh-CN"/>
        </w:rPr>
      </w:pPr>
      <w:r>
        <w:rPr>
          <w:rFonts w:hint="eastAsia" w:ascii="宋体" w:hAnsi="宋体" w:eastAsia="宋体" w:cs="宋体"/>
          <w:color w:val="auto"/>
          <w:spacing w:val="10"/>
          <w:sz w:val="30"/>
          <w:szCs w:val="30"/>
          <w:highlight w:val="none"/>
          <w:lang w:val="en-US" w:eastAsia="zh-CN"/>
        </w:rPr>
        <w:t>医院污水站始建于2006年，日处理量650</w:t>
      </w:r>
      <w:r>
        <w:rPr>
          <w:rFonts w:hint="eastAsia" w:ascii="宋体" w:hAnsi="宋体" w:eastAsia="宋体" w:cs="宋体"/>
          <w:color w:val="auto"/>
          <w:sz w:val="28"/>
          <w:szCs w:val="28"/>
          <w:highlight w:val="none"/>
          <w:lang w:val="en-US" w:eastAsia="zh-CN"/>
        </w:rPr>
        <w:t>m³</w:t>
      </w:r>
      <w:r>
        <w:rPr>
          <w:rFonts w:hint="eastAsia" w:ascii="宋体" w:hAnsi="宋体" w:eastAsia="宋体" w:cs="宋体"/>
          <w:color w:val="auto"/>
          <w:spacing w:val="10"/>
          <w:sz w:val="30"/>
          <w:szCs w:val="30"/>
          <w:highlight w:val="none"/>
          <w:lang w:val="en-US" w:eastAsia="zh-CN"/>
        </w:rPr>
        <w:t>，2023年2月对原有污水站进行升级改造，改造后污水站处理工艺为：机械格栅+调节池+厌氧池+缺氧池+好氧接触氧化池+MBR膜池+消毒池；原有废气处理</w:t>
      </w:r>
      <w:r>
        <w:rPr>
          <w:rFonts w:hint="eastAsia" w:ascii="宋体" w:hAnsi="宋体" w:eastAsia="宋体" w:cs="宋体"/>
          <w:color w:val="auto"/>
          <w:sz w:val="28"/>
          <w:szCs w:val="28"/>
          <w:highlight w:val="none"/>
          <w:lang w:val="en-US" w:eastAsia="zh-CN"/>
        </w:rPr>
        <w:t>（2000m³/h）</w:t>
      </w:r>
      <w:r>
        <w:rPr>
          <w:rFonts w:hint="eastAsia" w:ascii="宋体" w:hAnsi="宋体" w:eastAsia="宋体" w:cs="宋体"/>
          <w:color w:val="auto"/>
          <w:spacing w:val="10"/>
          <w:sz w:val="30"/>
          <w:szCs w:val="30"/>
          <w:highlight w:val="none"/>
          <w:lang w:val="en-US" w:eastAsia="zh-CN"/>
        </w:rPr>
        <w:t>工艺改造后为：尾气收集+喷淋塔+风机+高效尾气处理站装置+15m烟囱。</w:t>
      </w:r>
    </w:p>
    <w:p w14:paraId="757DCB69">
      <w:pPr>
        <w:spacing w:line="560" w:lineRule="exact"/>
        <w:ind w:firstLine="640" w:firstLineChars="200"/>
        <w:textAlignment w:val="baseline"/>
        <w:rPr>
          <w:rFonts w:hint="eastAsia" w:ascii="宋体" w:hAnsi="宋体" w:eastAsia="宋体" w:cs="宋体"/>
          <w:color w:val="auto"/>
          <w:spacing w:val="10"/>
          <w:sz w:val="30"/>
          <w:szCs w:val="30"/>
          <w:highlight w:val="none"/>
          <w:lang w:val="en-US" w:eastAsia="zh-CN"/>
        </w:rPr>
      </w:pPr>
      <w:r>
        <w:rPr>
          <w:rFonts w:hint="eastAsia" w:ascii="宋体" w:hAnsi="宋体" w:eastAsia="宋体" w:cs="宋体"/>
          <w:color w:val="auto"/>
          <w:spacing w:val="10"/>
          <w:sz w:val="30"/>
          <w:szCs w:val="30"/>
          <w:highlight w:val="none"/>
          <w:lang w:val="en-US" w:eastAsia="zh-CN"/>
        </w:rPr>
        <w:t>2022年伴随《陕西省公共卫生中心（一期）项目》开展，在原址旁边改扩建日处理量350/吨的污水处理站，污水站处理</w:t>
      </w:r>
      <w:r>
        <w:rPr>
          <w:rFonts w:hint="eastAsia" w:ascii="宋体" w:hAnsi="宋体" w:eastAsia="宋体" w:cs="宋体"/>
          <w:color w:val="auto"/>
          <w:sz w:val="28"/>
          <w:szCs w:val="28"/>
          <w:highlight w:val="none"/>
          <w:lang w:val="en-US" w:eastAsia="zh-CN"/>
        </w:rPr>
        <w:t>（5000m³/h）</w:t>
      </w:r>
      <w:r>
        <w:rPr>
          <w:rFonts w:hint="eastAsia" w:ascii="宋体" w:hAnsi="宋体" w:eastAsia="宋体" w:cs="宋体"/>
          <w:color w:val="auto"/>
          <w:spacing w:val="10"/>
          <w:sz w:val="30"/>
          <w:szCs w:val="30"/>
          <w:highlight w:val="none"/>
          <w:lang w:val="en-US" w:eastAsia="zh-CN"/>
        </w:rPr>
        <w:t>工艺为：机械格栅+脱氯池+调节池+厌氧池+缺氧池+好氧接触氧化池+MBR膜池+消毒池；废气处理工艺为：尾气收集+风机+高效尾气处理站装置+15m烟囱。</w:t>
      </w:r>
    </w:p>
    <w:p w14:paraId="01532245">
      <w:pPr>
        <w:ind w:firstLine="600" w:firstLineChars="200"/>
        <w:rPr>
          <w:rFonts w:hint="eastAsia" w:ascii="宋体" w:hAnsi="宋体" w:eastAsia="宋体" w:cs="宋体"/>
          <w:color w:val="auto"/>
          <w:sz w:val="30"/>
          <w:szCs w:val="30"/>
          <w:highlight w:val="none"/>
          <w:lang w:val="en-US" w:eastAsia="zh-CN"/>
        </w:rPr>
      </w:pPr>
      <w:r>
        <w:rPr>
          <w:rFonts w:hint="eastAsia" w:ascii="宋体" w:hAnsi="宋体" w:eastAsia="宋体" w:cs="宋体"/>
          <w:color w:val="auto"/>
          <w:sz w:val="30"/>
          <w:szCs w:val="30"/>
          <w:highlight w:val="none"/>
          <w:lang w:val="en-US" w:eastAsia="zh-CN"/>
        </w:rPr>
        <w:t>共计日处理污水1000吨；小时废气处理7000m³/h。</w:t>
      </w:r>
    </w:p>
    <w:p w14:paraId="1C916640">
      <w:pPr>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2、运维范围</w:t>
      </w:r>
    </w:p>
    <w:p w14:paraId="12D64E32">
      <w:pPr>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污水处理站运维项目相关的人员配置、</w:t>
      </w:r>
      <w:r>
        <w:rPr>
          <w:rFonts w:hint="eastAsia" w:ascii="宋体" w:hAnsi="宋体" w:eastAsia="宋体" w:cs="宋体"/>
          <w:color w:val="auto"/>
          <w:sz w:val="30"/>
          <w:szCs w:val="30"/>
          <w:highlight w:val="none"/>
          <w:lang w:val="en-US" w:eastAsia="zh-CN"/>
        </w:rPr>
        <w:t>生化系统维护、</w:t>
      </w:r>
      <w:r>
        <w:rPr>
          <w:rFonts w:hint="eastAsia" w:ascii="宋体" w:hAnsi="宋体" w:eastAsia="宋体" w:cs="宋体"/>
          <w:color w:val="auto"/>
          <w:sz w:val="30"/>
          <w:szCs w:val="30"/>
          <w:highlight w:val="none"/>
        </w:rPr>
        <w:t>设备巡检、设备保养（含易损件及消耗品，如润滑油、润滑脂</w:t>
      </w:r>
      <w:r>
        <w:rPr>
          <w:rFonts w:hint="eastAsia" w:ascii="宋体" w:hAnsi="宋体" w:eastAsia="宋体" w:cs="宋体"/>
          <w:color w:val="auto"/>
          <w:sz w:val="30"/>
          <w:szCs w:val="30"/>
          <w:highlight w:val="none"/>
          <w:lang w:eastAsia="zh-CN"/>
        </w:rPr>
        <w:t>、</w:t>
      </w:r>
      <w:r>
        <w:rPr>
          <w:rFonts w:hint="eastAsia" w:ascii="宋体" w:hAnsi="宋体" w:eastAsia="宋体" w:cs="宋体"/>
          <w:color w:val="auto"/>
          <w:sz w:val="30"/>
          <w:szCs w:val="30"/>
          <w:highlight w:val="none"/>
          <w:lang w:val="en-US" w:eastAsia="zh-CN"/>
        </w:rPr>
        <w:t>部分管道配件等</w:t>
      </w:r>
      <w:r>
        <w:rPr>
          <w:rFonts w:hint="eastAsia" w:ascii="宋体" w:hAnsi="宋体" w:eastAsia="宋体" w:cs="宋体"/>
          <w:color w:val="auto"/>
          <w:sz w:val="30"/>
          <w:szCs w:val="30"/>
          <w:highlight w:val="none"/>
        </w:rPr>
        <w:t>）</w:t>
      </w:r>
      <w:r>
        <w:rPr>
          <w:rFonts w:hint="eastAsia" w:ascii="宋体" w:hAnsi="宋体" w:eastAsia="宋体" w:cs="宋体"/>
          <w:color w:val="auto"/>
          <w:sz w:val="30"/>
          <w:szCs w:val="30"/>
          <w:highlight w:val="none"/>
          <w:lang w:val="en-US" w:eastAsia="zh-CN"/>
        </w:rPr>
        <w:t>等</w:t>
      </w:r>
      <w:r>
        <w:rPr>
          <w:rFonts w:hint="eastAsia" w:ascii="宋体" w:hAnsi="宋体" w:eastAsia="宋体" w:cs="宋体"/>
          <w:color w:val="auto"/>
          <w:sz w:val="30"/>
          <w:szCs w:val="30"/>
          <w:highlight w:val="none"/>
          <w:lang w:eastAsia="zh-CN"/>
        </w:rPr>
        <w:t>；</w:t>
      </w:r>
      <w:r>
        <w:rPr>
          <w:rFonts w:hint="eastAsia" w:ascii="宋体" w:hAnsi="宋体" w:eastAsia="宋体" w:cs="宋体"/>
          <w:color w:val="auto"/>
          <w:sz w:val="30"/>
          <w:szCs w:val="30"/>
          <w:highlight w:val="none"/>
          <w:lang w:val="en-US" w:eastAsia="zh-CN"/>
        </w:rPr>
        <w:t>污水站运维期间所需药剂采购及投加；日常水质检测费用（非第三方检测）；在线设备日常校准及维护</w:t>
      </w:r>
      <w:r>
        <w:rPr>
          <w:rFonts w:hint="eastAsia" w:ascii="宋体" w:hAnsi="宋体" w:eastAsia="宋体" w:cs="宋体"/>
          <w:color w:val="auto"/>
          <w:sz w:val="30"/>
          <w:szCs w:val="30"/>
          <w:highlight w:val="none"/>
          <w:lang w:eastAsia="zh-CN"/>
        </w:rPr>
        <w:t>；</w:t>
      </w:r>
      <w:r>
        <w:rPr>
          <w:rFonts w:hint="eastAsia" w:ascii="宋体" w:hAnsi="宋体" w:eastAsia="宋体" w:cs="宋体"/>
          <w:color w:val="auto"/>
          <w:sz w:val="30"/>
          <w:szCs w:val="30"/>
          <w:highlight w:val="none"/>
          <w:lang w:val="en-US" w:eastAsia="zh-CN"/>
        </w:rPr>
        <w:t>MBR膜系统清洗（1次/季度）；生化系统菌种投加；</w:t>
      </w:r>
      <w:r>
        <w:rPr>
          <w:rFonts w:hint="eastAsia" w:ascii="宋体" w:hAnsi="宋体" w:eastAsia="宋体" w:cs="宋体"/>
          <w:color w:val="auto"/>
          <w:sz w:val="30"/>
          <w:szCs w:val="30"/>
          <w:highlight w:val="none"/>
        </w:rPr>
        <w:t>运维期协助院方办理</w:t>
      </w:r>
      <w:r>
        <w:rPr>
          <w:rFonts w:hint="eastAsia" w:ascii="宋体" w:hAnsi="宋体" w:eastAsia="宋体" w:cs="宋体"/>
          <w:color w:val="auto"/>
          <w:sz w:val="30"/>
          <w:szCs w:val="30"/>
          <w:highlight w:val="none"/>
          <w:lang w:val="en-US" w:eastAsia="zh-CN"/>
        </w:rPr>
        <w:t>污水站有关资料及信息上传</w:t>
      </w:r>
      <w:r>
        <w:rPr>
          <w:rFonts w:hint="eastAsia" w:ascii="宋体" w:hAnsi="宋体" w:eastAsia="宋体" w:cs="宋体"/>
          <w:color w:val="auto"/>
          <w:sz w:val="30"/>
          <w:szCs w:val="30"/>
          <w:highlight w:val="none"/>
        </w:rPr>
        <w:t>等</w:t>
      </w:r>
      <w:r>
        <w:rPr>
          <w:rFonts w:hint="eastAsia" w:ascii="宋体" w:hAnsi="宋体" w:eastAsia="宋体" w:cs="宋体"/>
          <w:color w:val="auto"/>
          <w:sz w:val="30"/>
          <w:szCs w:val="30"/>
          <w:highlight w:val="none"/>
          <w:lang w:val="en-US" w:eastAsia="zh-CN"/>
        </w:rPr>
        <w:t>工作</w:t>
      </w:r>
      <w:r>
        <w:rPr>
          <w:rFonts w:hint="eastAsia" w:ascii="宋体" w:hAnsi="宋体" w:eastAsia="宋体" w:cs="宋体"/>
          <w:color w:val="auto"/>
          <w:sz w:val="30"/>
          <w:szCs w:val="30"/>
          <w:highlight w:val="none"/>
        </w:rPr>
        <w:t>。</w:t>
      </w:r>
    </w:p>
    <w:p w14:paraId="5C6D9FA1">
      <w:pPr>
        <w:spacing w:line="60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二、服务周期</w:t>
      </w:r>
    </w:p>
    <w:p w14:paraId="3B7AB06E">
      <w:pPr>
        <w:ind w:firstLine="600" w:firstLineChars="200"/>
        <w:rPr>
          <w:rFonts w:hint="eastAsia" w:ascii="宋体" w:hAnsi="宋体" w:eastAsia="宋体" w:cs="宋体"/>
          <w:color w:val="auto"/>
          <w:sz w:val="30"/>
          <w:szCs w:val="30"/>
          <w:highlight w:val="none"/>
          <w:lang w:val="en-US" w:eastAsia="zh-CN"/>
        </w:rPr>
      </w:pPr>
      <w:r>
        <w:rPr>
          <w:rFonts w:hint="eastAsia" w:ascii="宋体" w:hAnsi="宋体" w:eastAsia="宋体" w:cs="宋体"/>
          <w:color w:val="auto"/>
          <w:sz w:val="30"/>
          <w:szCs w:val="30"/>
          <w:highlight w:val="none"/>
        </w:rPr>
        <w:t>合同期为1年，即</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rPr>
        <w:t>年</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rPr>
        <w:t>月</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rPr>
        <w:t>日至</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rPr>
        <w:t>年</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rPr>
        <w:t>月</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rPr>
        <w:t>日</w:t>
      </w:r>
      <w:r>
        <w:rPr>
          <w:rFonts w:hint="eastAsia" w:ascii="宋体" w:hAnsi="宋体" w:eastAsia="宋体" w:cs="宋体"/>
          <w:color w:val="auto"/>
          <w:sz w:val="30"/>
          <w:szCs w:val="30"/>
          <w:highlight w:val="none"/>
          <w:lang w:eastAsia="zh-CN"/>
        </w:rPr>
        <w:t>，</w:t>
      </w:r>
      <w:r>
        <w:rPr>
          <w:rFonts w:hint="eastAsia" w:ascii="宋体" w:hAnsi="宋体" w:eastAsia="宋体" w:cs="宋体"/>
          <w:color w:val="auto"/>
          <w:sz w:val="30"/>
          <w:szCs w:val="30"/>
          <w:highlight w:val="none"/>
          <w:lang w:val="en-US" w:eastAsia="zh-CN"/>
        </w:rPr>
        <w:t>经考核合格后可续签1年。</w:t>
      </w:r>
    </w:p>
    <w:p w14:paraId="78B30CC3">
      <w:pPr>
        <w:spacing w:line="600" w:lineRule="auto"/>
        <w:jc w:val="left"/>
        <w:textAlignment w:val="baseline"/>
        <w:rPr>
          <w:rFonts w:hint="eastAsia" w:ascii="宋体" w:hAnsi="宋体" w:eastAsia="宋体" w:cs="宋体"/>
          <w:b/>
          <w:color w:val="auto"/>
          <w:spacing w:val="10"/>
          <w:sz w:val="30"/>
          <w:szCs w:val="30"/>
          <w:highlight w:val="none"/>
        </w:rPr>
      </w:pPr>
      <w:r>
        <w:rPr>
          <w:rFonts w:hint="eastAsia" w:ascii="宋体" w:hAnsi="宋体" w:eastAsia="宋体" w:cs="宋体"/>
          <w:b/>
          <w:color w:val="auto"/>
          <w:spacing w:val="10"/>
          <w:sz w:val="30"/>
          <w:szCs w:val="30"/>
          <w:highlight w:val="none"/>
        </w:rPr>
        <w:t>三、技术要求</w:t>
      </w:r>
    </w:p>
    <w:p w14:paraId="454464F4">
      <w:pPr>
        <w:spacing w:line="560" w:lineRule="exact"/>
        <w:ind w:firstLine="640" w:firstLineChars="200"/>
        <w:jc w:val="left"/>
        <w:textAlignment w:val="baseline"/>
        <w:rPr>
          <w:rFonts w:hint="eastAsia" w:ascii="宋体" w:hAnsi="宋体" w:eastAsia="宋体" w:cs="宋体"/>
          <w:color w:val="auto"/>
          <w:spacing w:val="10"/>
          <w:sz w:val="30"/>
          <w:szCs w:val="30"/>
          <w:highlight w:val="none"/>
        </w:rPr>
      </w:pPr>
      <w:r>
        <w:rPr>
          <w:rFonts w:hint="eastAsia" w:ascii="宋体" w:hAnsi="宋体" w:eastAsia="宋体" w:cs="宋体"/>
          <w:color w:val="auto"/>
          <w:spacing w:val="10"/>
          <w:sz w:val="30"/>
          <w:szCs w:val="30"/>
          <w:highlight w:val="none"/>
        </w:rPr>
        <w:t>1、服从医院的组织和管理，保障污水处理站的正常运行，出水水质符合环保及有关部门的要求。</w:t>
      </w:r>
    </w:p>
    <w:p w14:paraId="01A85BCA">
      <w:pPr>
        <w:spacing w:line="360" w:lineRule="auto"/>
        <w:ind w:firstLine="640" w:firstLineChars="200"/>
        <w:jc w:val="left"/>
        <w:textAlignment w:val="baseline"/>
        <w:rPr>
          <w:rFonts w:hint="eastAsia" w:ascii="宋体" w:hAnsi="宋体" w:eastAsia="宋体" w:cs="宋体"/>
          <w:color w:val="auto"/>
          <w:spacing w:val="10"/>
          <w:sz w:val="30"/>
          <w:szCs w:val="30"/>
          <w:highlight w:val="none"/>
        </w:rPr>
      </w:pPr>
      <w:r>
        <w:rPr>
          <w:rFonts w:hint="eastAsia" w:ascii="宋体" w:hAnsi="宋体" w:eastAsia="宋体" w:cs="宋体"/>
          <w:color w:val="auto"/>
          <w:spacing w:val="10"/>
          <w:sz w:val="30"/>
          <w:szCs w:val="30"/>
          <w:highlight w:val="none"/>
        </w:rPr>
        <w:t>2、按照</w:t>
      </w:r>
      <w:r>
        <w:rPr>
          <w:rFonts w:hint="eastAsia" w:ascii="宋体" w:hAnsi="宋体" w:eastAsia="宋体" w:cs="宋体"/>
          <w:color w:val="auto"/>
          <w:spacing w:val="10"/>
          <w:sz w:val="30"/>
          <w:szCs w:val="30"/>
          <w:highlight w:val="none"/>
          <w:lang w:val="en-US" w:eastAsia="zh-CN"/>
        </w:rPr>
        <w:t>磋商</w:t>
      </w:r>
      <w:r>
        <w:rPr>
          <w:rFonts w:hint="eastAsia" w:ascii="宋体" w:hAnsi="宋体" w:eastAsia="宋体" w:cs="宋体"/>
          <w:color w:val="auto"/>
          <w:spacing w:val="10"/>
          <w:sz w:val="30"/>
          <w:szCs w:val="30"/>
          <w:highlight w:val="none"/>
        </w:rPr>
        <w:t>文件技术要求对污水处理站定期巡检、设备维护和检修、构筑物</w:t>
      </w:r>
      <w:r>
        <w:rPr>
          <w:rFonts w:hint="eastAsia" w:ascii="宋体" w:hAnsi="宋体" w:eastAsia="宋体" w:cs="宋体"/>
          <w:color w:val="auto"/>
          <w:spacing w:val="10"/>
          <w:sz w:val="30"/>
          <w:szCs w:val="30"/>
          <w:highlight w:val="none"/>
          <w:lang w:val="en-US" w:eastAsia="zh-CN"/>
        </w:rPr>
        <w:t>内</w:t>
      </w:r>
      <w:r>
        <w:rPr>
          <w:rFonts w:hint="eastAsia" w:ascii="宋体" w:hAnsi="宋体" w:eastAsia="宋体" w:cs="宋体"/>
          <w:color w:val="auto"/>
          <w:spacing w:val="10"/>
          <w:sz w:val="30"/>
          <w:szCs w:val="30"/>
          <w:highlight w:val="none"/>
        </w:rPr>
        <w:t>漂浮物</w:t>
      </w:r>
      <w:r>
        <w:rPr>
          <w:rFonts w:hint="eastAsia" w:ascii="宋体" w:hAnsi="宋体" w:eastAsia="宋体" w:cs="宋体"/>
          <w:color w:val="auto"/>
          <w:spacing w:val="10"/>
          <w:sz w:val="30"/>
          <w:szCs w:val="30"/>
          <w:highlight w:val="none"/>
          <w:lang w:val="en-US" w:eastAsia="zh-CN"/>
        </w:rPr>
        <w:t>及沉淀物的</w:t>
      </w:r>
      <w:r>
        <w:rPr>
          <w:rFonts w:hint="eastAsia" w:ascii="宋体" w:hAnsi="宋体" w:eastAsia="宋体" w:cs="宋体"/>
          <w:color w:val="auto"/>
          <w:spacing w:val="10"/>
          <w:sz w:val="30"/>
          <w:szCs w:val="30"/>
          <w:highlight w:val="none"/>
        </w:rPr>
        <w:t>清理、水质检测以及院方交办的临时性任务。</w:t>
      </w:r>
    </w:p>
    <w:p w14:paraId="4F686C04">
      <w:pPr>
        <w:pStyle w:val="16"/>
        <w:spacing w:line="360" w:lineRule="auto"/>
        <w:ind w:firstLine="640"/>
        <w:rPr>
          <w:rFonts w:hint="eastAsia" w:ascii="宋体" w:hAnsi="宋体" w:eastAsia="宋体" w:cs="宋体"/>
          <w:color w:val="auto"/>
          <w:sz w:val="30"/>
          <w:szCs w:val="30"/>
          <w:highlight w:val="none"/>
        </w:rPr>
      </w:pPr>
      <w:r>
        <w:rPr>
          <w:rFonts w:hint="eastAsia" w:ascii="宋体" w:hAnsi="宋体" w:eastAsia="宋体" w:cs="宋体"/>
          <w:color w:val="auto"/>
          <w:spacing w:val="10"/>
          <w:sz w:val="30"/>
          <w:szCs w:val="30"/>
          <w:highlight w:val="none"/>
        </w:rPr>
        <w:t>3、执行标准：</w:t>
      </w:r>
      <w:r>
        <w:rPr>
          <w:rFonts w:hint="eastAsia" w:ascii="宋体" w:hAnsi="宋体" w:eastAsia="宋体" w:cs="宋体"/>
          <w:color w:val="auto"/>
          <w:sz w:val="30"/>
          <w:szCs w:val="30"/>
          <w:highlight w:val="none"/>
        </w:rPr>
        <w:t>出水水质执行《医疗机构水污染物排放标准》（GB18466-2005）中表1传染病、结核病医疗机构水污染物排放限制（日均值），同时执行《陕西省黄河流域污水综合排放标准》（DB61/224-2018）中表2其他单位水污染物排放浓度限值要求</w:t>
      </w:r>
      <w:r>
        <w:rPr>
          <w:rFonts w:hint="eastAsia" w:ascii="宋体" w:hAnsi="宋体" w:eastAsia="宋体" w:cs="宋体"/>
          <w:color w:val="auto"/>
          <w:sz w:val="30"/>
          <w:szCs w:val="30"/>
          <w:highlight w:val="none"/>
          <w:lang w:val="en-US" w:eastAsia="zh-CN"/>
        </w:rPr>
        <w:t>。</w:t>
      </w:r>
    </w:p>
    <w:p w14:paraId="14763ED5">
      <w:pPr>
        <w:pStyle w:val="17"/>
        <w:adjustRightInd w:val="0"/>
        <w:snapToGrid w:val="0"/>
        <w:spacing w:line="360" w:lineRule="auto"/>
        <w:ind w:firstLine="480"/>
        <w:rPr>
          <w:rFonts w:hint="eastAsia" w:ascii="宋体" w:hAnsi="宋体" w:eastAsia="宋体" w:cs="宋体"/>
          <w:color w:val="auto"/>
          <w:kern w:val="2"/>
          <w:sz w:val="30"/>
          <w:szCs w:val="30"/>
          <w:highlight w:val="none"/>
          <w:lang w:val="en-US" w:eastAsia="zh-CN" w:bidi="ar-SA"/>
        </w:rPr>
      </w:pPr>
      <w:r>
        <w:rPr>
          <w:rFonts w:hint="eastAsia" w:ascii="宋体" w:hAnsi="宋体" w:eastAsia="宋体" w:cs="宋体"/>
          <w:color w:val="auto"/>
          <w:kern w:val="2"/>
          <w:sz w:val="30"/>
          <w:szCs w:val="30"/>
          <w:highlight w:val="none"/>
          <w:lang w:val="en-US" w:eastAsia="zh-CN" w:bidi="ar-SA"/>
        </w:rPr>
        <w:t>主要指标如下表：</w:t>
      </w:r>
    </w:p>
    <w:tbl>
      <w:tblPr>
        <w:tblStyle w:val="13"/>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843"/>
        <w:gridCol w:w="778"/>
        <w:gridCol w:w="657"/>
        <w:gridCol w:w="576"/>
        <w:gridCol w:w="622"/>
        <w:gridCol w:w="689"/>
        <w:gridCol w:w="844"/>
        <w:gridCol w:w="1382"/>
        <w:gridCol w:w="952"/>
      </w:tblGrid>
      <w:tr w14:paraId="68483C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29" w:type="pct"/>
            <w:tcBorders>
              <w:top w:val="single" w:color="auto" w:sz="12" w:space="0"/>
              <w:left w:val="single" w:color="auto" w:sz="12" w:space="0"/>
              <w:bottom w:val="single" w:color="auto" w:sz="4" w:space="0"/>
              <w:right w:val="single" w:color="auto" w:sz="4" w:space="0"/>
            </w:tcBorders>
            <w:noWrap w:val="0"/>
            <w:vAlign w:val="center"/>
          </w:tcPr>
          <w:p w14:paraId="6E7C8D8D">
            <w:pPr>
              <w:pStyle w:val="18"/>
              <w:widowControl w:val="0"/>
              <w:numPr>
                <w:ilvl w:val="0"/>
                <w:numId w:val="0"/>
              </w:numPr>
              <w:ind w:leftChars="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指标</w:t>
            </w:r>
          </w:p>
        </w:tc>
        <w:tc>
          <w:tcPr>
            <w:tcW w:w="502" w:type="pct"/>
            <w:tcBorders>
              <w:top w:val="single" w:color="auto" w:sz="12" w:space="0"/>
              <w:left w:val="single" w:color="auto" w:sz="4" w:space="0"/>
              <w:bottom w:val="single" w:color="auto" w:sz="4" w:space="0"/>
              <w:right w:val="single" w:color="auto" w:sz="4" w:space="0"/>
            </w:tcBorders>
            <w:noWrap w:val="0"/>
            <w:vAlign w:val="center"/>
          </w:tcPr>
          <w:p w14:paraId="3F14CADC">
            <w:pPr>
              <w:pStyle w:val="18"/>
              <w:widowControl w:val="0"/>
              <w:numPr>
                <w:ilvl w:val="0"/>
                <w:numId w:val="0"/>
              </w:numPr>
              <w:ind w:leftChars="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CODcr</w:t>
            </w:r>
          </w:p>
        </w:tc>
        <w:tc>
          <w:tcPr>
            <w:tcW w:w="464" w:type="pct"/>
            <w:tcBorders>
              <w:top w:val="single" w:color="auto" w:sz="12" w:space="0"/>
              <w:left w:val="single" w:color="auto" w:sz="4" w:space="0"/>
              <w:bottom w:val="single" w:color="auto" w:sz="4" w:space="0"/>
              <w:right w:val="single" w:color="auto" w:sz="4" w:space="0"/>
            </w:tcBorders>
            <w:noWrap w:val="0"/>
            <w:vAlign w:val="center"/>
          </w:tcPr>
          <w:p w14:paraId="7D321B30">
            <w:pPr>
              <w:pStyle w:val="18"/>
              <w:widowControl w:val="0"/>
              <w:numPr>
                <w:ilvl w:val="0"/>
                <w:numId w:val="0"/>
              </w:numPr>
              <w:ind w:leftChars="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BOD</w:t>
            </w:r>
            <w:r>
              <w:rPr>
                <w:rFonts w:hint="eastAsia" w:ascii="宋体" w:hAnsi="宋体" w:eastAsia="宋体" w:cs="宋体"/>
                <w:b/>
                <w:bCs/>
                <w:color w:val="auto"/>
                <w:highlight w:val="none"/>
                <w:vertAlign w:val="subscript"/>
              </w:rPr>
              <w:t>5</w:t>
            </w:r>
          </w:p>
        </w:tc>
        <w:tc>
          <w:tcPr>
            <w:tcW w:w="393" w:type="pct"/>
            <w:tcBorders>
              <w:top w:val="single" w:color="auto" w:sz="12" w:space="0"/>
              <w:left w:val="single" w:color="auto" w:sz="4" w:space="0"/>
              <w:bottom w:val="single" w:color="auto" w:sz="4" w:space="0"/>
              <w:right w:val="single" w:color="auto" w:sz="4" w:space="0"/>
            </w:tcBorders>
            <w:noWrap w:val="0"/>
            <w:vAlign w:val="center"/>
          </w:tcPr>
          <w:p w14:paraId="38A18A23">
            <w:pPr>
              <w:pStyle w:val="18"/>
              <w:widowControl w:val="0"/>
              <w:numPr>
                <w:ilvl w:val="0"/>
                <w:numId w:val="0"/>
              </w:numPr>
              <w:ind w:leftChars="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SS</w:t>
            </w:r>
          </w:p>
        </w:tc>
        <w:tc>
          <w:tcPr>
            <w:tcW w:w="333" w:type="pct"/>
            <w:tcBorders>
              <w:top w:val="single" w:color="auto" w:sz="12" w:space="0"/>
              <w:left w:val="single" w:color="auto" w:sz="4" w:space="0"/>
              <w:bottom w:val="single" w:color="auto" w:sz="4" w:space="0"/>
              <w:right w:val="single" w:color="auto" w:sz="4" w:space="0"/>
            </w:tcBorders>
            <w:noWrap w:val="0"/>
            <w:vAlign w:val="center"/>
          </w:tcPr>
          <w:p w14:paraId="69AD4EBD">
            <w:pPr>
              <w:pStyle w:val="18"/>
              <w:widowControl w:val="0"/>
              <w:numPr>
                <w:ilvl w:val="0"/>
                <w:numId w:val="0"/>
              </w:numPr>
              <w:ind w:leftChars="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pH</w:t>
            </w:r>
          </w:p>
        </w:tc>
        <w:tc>
          <w:tcPr>
            <w:tcW w:w="373" w:type="pct"/>
            <w:tcBorders>
              <w:top w:val="single" w:color="auto" w:sz="12" w:space="0"/>
              <w:left w:val="single" w:color="auto" w:sz="4" w:space="0"/>
              <w:bottom w:val="single" w:color="auto" w:sz="4" w:space="0"/>
              <w:right w:val="single" w:color="auto" w:sz="4" w:space="0"/>
            </w:tcBorders>
            <w:noWrap w:val="0"/>
            <w:vAlign w:val="center"/>
          </w:tcPr>
          <w:p w14:paraId="5926FA9E">
            <w:pPr>
              <w:pStyle w:val="18"/>
              <w:widowControl w:val="0"/>
              <w:numPr>
                <w:ilvl w:val="0"/>
                <w:numId w:val="0"/>
              </w:numPr>
              <w:ind w:leftChars="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TN</w:t>
            </w:r>
          </w:p>
        </w:tc>
        <w:tc>
          <w:tcPr>
            <w:tcW w:w="412" w:type="pct"/>
            <w:tcBorders>
              <w:top w:val="single" w:color="auto" w:sz="12" w:space="0"/>
              <w:left w:val="single" w:color="auto" w:sz="4" w:space="0"/>
              <w:bottom w:val="single" w:color="auto" w:sz="4" w:space="0"/>
              <w:right w:val="single" w:color="auto" w:sz="4" w:space="0"/>
            </w:tcBorders>
            <w:noWrap w:val="0"/>
            <w:vAlign w:val="center"/>
          </w:tcPr>
          <w:p w14:paraId="46D6A2B5">
            <w:pPr>
              <w:pStyle w:val="18"/>
              <w:widowControl w:val="0"/>
              <w:numPr>
                <w:ilvl w:val="0"/>
                <w:numId w:val="0"/>
              </w:numPr>
              <w:ind w:leftChars="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TP</w:t>
            </w:r>
          </w:p>
        </w:tc>
        <w:tc>
          <w:tcPr>
            <w:tcW w:w="503" w:type="pct"/>
            <w:tcBorders>
              <w:top w:val="single" w:color="auto" w:sz="12" w:space="0"/>
              <w:left w:val="single" w:color="auto" w:sz="4" w:space="0"/>
              <w:bottom w:val="single" w:color="auto" w:sz="4" w:space="0"/>
              <w:right w:val="single" w:color="auto" w:sz="4" w:space="0"/>
            </w:tcBorders>
            <w:noWrap w:val="0"/>
            <w:vAlign w:val="center"/>
          </w:tcPr>
          <w:p w14:paraId="11950908">
            <w:pPr>
              <w:pStyle w:val="18"/>
              <w:widowControl w:val="0"/>
              <w:numPr>
                <w:ilvl w:val="0"/>
                <w:numId w:val="0"/>
              </w:numPr>
              <w:ind w:leftChars="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NH</w:t>
            </w:r>
            <w:r>
              <w:rPr>
                <w:rFonts w:hint="eastAsia" w:ascii="宋体" w:hAnsi="宋体" w:eastAsia="宋体" w:cs="宋体"/>
                <w:b/>
                <w:bCs/>
                <w:color w:val="auto"/>
                <w:highlight w:val="none"/>
                <w:vertAlign w:val="subscript"/>
              </w:rPr>
              <w:t>3</w:t>
            </w:r>
            <w:r>
              <w:rPr>
                <w:rFonts w:hint="eastAsia" w:ascii="宋体" w:hAnsi="宋体" w:eastAsia="宋体" w:cs="宋体"/>
                <w:b/>
                <w:bCs/>
                <w:color w:val="auto"/>
                <w:highlight w:val="none"/>
              </w:rPr>
              <w:t>-N</w:t>
            </w:r>
          </w:p>
        </w:tc>
        <w:tc>
          <w:tcPr>
            <w:tcW w:w="818" w:type="pct"/>
            <w:tcBorders>
              <w:top w:val="single" w:color="auto" w:sz="12" w:space="0"/>
              <w:left w:val="single" w:color="auto" w:sz="4" w:space="0"/>
              <w:bottom w:val="single" w:color="auto" w:sz="4" w:space="0"/>
              <w:right w:val="single" w:color="auto" w:sz="4" w:space="0"/>
            </w:tcBorders>
            <w:noWrap w:val="0"/>
            <w:vAlign w:val="center"/>
          </w:tcPr>
          <w:p w14:paraId="39DD2694">
            <w:pPr>
              <w:pStyle w:val="18"/>
              <w:widowControl w:val="0"/>
              <w:numPr>
                <w:ilvl w:val="0"/>
                <w:numId w:val="0"/>
              </w:numPr>
              <w:ind w:leftChars="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大肠杆菌群</w:t>
            </w:r>
          </w:p>
        </w:tc>
        <w:tc>
          <w:tcPr>
            <w:tcW w:w="566" w:type="pct"/>
            <w:tcBorders>
              <w:top w:val="single" w:color="auto" w:sz="12" w:space="0"/>
              <w:left w:val="single" w:color="auto" w:sz="4" w:space="0"/>
              <w:bottom w:val="single" w:color="auto" w:sz="4" w:space="0"/>
              <w:right w:val="single" w:color="auto" w:sz="12" w:space="0"/>
            </w:tcBorders>
            <w:noWrap w:val="0"/>
            <w:vAlign w:val="center"/>
          </w:tcPr>
          <w:p w14:paraId="18EBF3DE">
            <w:pPr>
              <w:pStyle w:val="18"/>
              <w:widowControl w:val="0"/>
              <w:numPr>
                <w:ilvl w:val="0"/>
                <w:numId w:val="0"/>
              </w:numPr>
              <w:ind w:leftChars="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总余氯</w:t>
            </w:r>
          </w:p>
        </w:tc>
      </w:tr>
      <w:tr w14:paraId="34AEE6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29" w:type="pct"/>
            <w:tcBorders>
              <w:top w:val="single" w:color="auto" w:sz="4" w:space="0"/>
              <w:left w:val="single" w:color="auto" w:sz="12" w:space="0"/>
              <w:bottom w:val="single" w:color="auto" w:sz="12" w:space="0"/>
              <w:right w:val="single" w:color="auto" w:sz="4" w:space="0"/>
            </w:tcBorders>
            <w:noWrap w:val="0"/>
            <w:vAlign w:val="center"/>
          </w:tcPr>
          <w:p w14:paraId="2598FAB6">
            <w:pPr>
              <w:pStyle w:val="18"/>
              <w:widowControl w:val="0"/>
              <w:numPr>
                <w:ilvl w:val="0"/>
                <w:numId w:val="0"/>
              </w:numPr>
              <w:ind w:leftChars="0"/>
              <w:jc w:val="both"/>
              <w:rPr>
                <w:rFonts w:hint="eastAsia" w:ascii="宋体" w:hAnsi="宋体" w:eastAsia="宋体" w:cs="宋体"/>
                <w:color w:val="auto"/>
                <w:highlight w:val="none"/>
              </w:rPr>
            </w:pPr>
            <w:r>
              <w:rPr>
                <w:rFonts w:hint="eastAsia" w:ascii="宋体" w:hAnsi="宋体" w:eastAsia="宋体" w:cs="宋体"/>
                <w:color w:val="auto"/>
                <w:highlight w:val="none"/>
              </w:rPr>
              <w:t>出水水质（mg/L）</w:t>
            </w:r>
          </w:p>
        </w:tc>
        <w:tc>
          <w:tcPr>
            <w:tcW w:w="502" w:type="pct"/>
            <w:tcBorders>
              <w:top w:val="single" w:color="auto" w:sz="4" w:space="0"/>
              <w:left w:val="single" w:color="auto" w:sz="4" w:space="0"/>
              <w:bottom w:val="single" w:color="auto" w:sz="12" w:space="0"/>
              <w:right w:val="single" w:color="auto" w:sz="4" w:space="0"/>
            </w:tcBorders>
            <w:noWrap w:val="0"/>
            <w:vAlign w:val="center"/>
          </w:tcPr>
          <w:p w14:paraId="00417E58">
            <w:pPr>
              <w:pStyle w:val="18"/>
              <w:widowControl w:val="0"/>
              <w:numPr>
                <w:ilvl w:val="0"/>
                <w:numId w:val="0"/>
              </w:numPr>
              <w:ind w:leftChars="0"/>
              <w:jc w:val="both"/>
              <w:rPr>
                <w:rFonts w:hint="eastAsia" w:ascii="宋体" w:hAnsi="宋体" w:eastAsia="宋体" w:cs="宋体"/>
                <w:color w:val="auto"/>
                <w:highlight w:val="none"/>
              </w:rPr>
            </w:pPr>
            <w:r>
              <w:rPr>
                <w:rFonts w:hint="eastAsia" w:ascii="宋体" w:hAnsi="宋体" w:eastAsia="宋体" w:cs="宋体"/>
                <w:color w:val="auto"/>
                <w:highlight w:val="none"/>
              </w:rPr>
              <w:t>≦50</w:t>
            </w:r>
          </w:p>
        </w:tc>
        <w:tc>
          <w:tcPr>
            <w:tcW w:w="464" w:type="pct"/>
            <w:tcBorders>
              <w:top w:val="single" w:color="auto" w:sz="4" w:space="0"/>
              <w:left w:val="single" w:color="auto" w:sz="4" w:space="0"/>
              <w:bottom w:val="single" w:color="auto" w:sz="12" w:space="0"/>
              <w:right w:val="single" w:color="auto" w:sz="4" w:space="0"/>
            </w:tcBorders>
            <w:noWrap w:val="0"/>
            <w:vAlign w:val="center"/>
          </w:tcPr>
          <w:p w14:paraId="36FB7745">
            <w:pPr>
              <w:pStyle w:val="18"/>
              <w:widowControl w:val="0"/>
              <w:numPr>
                <w:ilvl w:val="0"/>
                <w:numId w:val="0"/>
              </w:numPr>
              <w:ind w:leftChars="0"/>
              <w:jc w:val="both"/>
              <w:rPr>
                <w:rFonts w:hint="eastAsia" w:ascii="宋体" w:hAnsi="宋体" w:eastAsia="宋体" w:cs="宋体"/>
                <w:color w:val="auto"/>
                <w:highlight w:val="none"/>
              </w:rPr>
            </w:pPr>
            <w:r>
              <w:rPr>
                <w:rFonts w:hint="eastAsia" w:ascii="宋体" w:hAnsi="宋体" w:eastAsia="宋体" w:cs="宋体"/>
                <w:color w:val="auto"/>
                <w:highlight w:val="none"/>
              </w:rPr>
              <w:t>≦20</w:t>
            </w:r>
          </w:p>
        </w:tc>
        <w:tc>
          <w:tcPr>
            <w:tcW w:w="393" w:type="pct"/>
            <w:tcBorders>
              <w:top w:val="single" w:color="auto" w:sz="4" w:space="0"/>
              <w:left w:val="single" w:color="auto" w:sz="4" w:space="0"/>
              <w:bottom w:val="single" w:color="auto" w:sz="12" w:space="0"/>
              <w:right w:val="single" w:color="auto" w:sz="4" w:space="0"/>
            </w:tcBorders>
            <w:noWrap w:val="0"/>
            <w:vAlign w:val="center"/>
          </w:tcPr>
          <w:p w14:paraId="5B61494C">
            <w:pPr>
              <w:pStyle w:val="18"/>
              <w:widowControl w:val="0"/>
              <w:numPr>
                <w:ilvl w:val="0"/>
                <w:numId w:val="0"/>
              </w:numPr>
              <w:ind w:leftChars="0"/>
              <w:jc w:val="both"/>
              <w:rPr>
                <w:rFonts w:hint="eastAsia" w:ascii="宋体" w:hAnsi="宋体" w:eastAsia="宋体" w:cs="宋体"/>
                <w:color w:val="auto"/>
                <w:highlight w:val="none"/>
              </w:rPr>
            </w:pPr>
            <w:r>
              <w:rPr>
                <w:rFonts w:hint="eastAsia" w:ascii="宋体" w:hAnsi="宋体" w:eastAsia="宋体" w:cs="宋体"/>
                <w:color w:val="auto"/>
                <w:highlight w:val="none"/>
              </w:rPr>
              <w:t>≦10</w:t>
            </w:r>
          </w:p>
        </w:tc>
        <w:tc>
          <w:tcPr>
            <w:tcW w:w="333" w:type="pct"/>
            <w:tcBorders>
              <w:top w:val="single" w:color="auto" w:sz="4" w:space="0"/>
              <w:left w:val="single" w:color="auto" w:sz="4" w:space="0"/>
              <w:bottom w:val="single" w:color="auto" w:sz="12" w:space="0"/>
              <w:right w:val="single" w:color="auto" w:sz="4" w:space="0"/>
            </w:tcBorders>
            <w:noWrap w:val="0"/>
            <w:vAlign w:val="center"/>
          </w:tcPr>
          <w:p w14:paraId="2FDD4C3E">
            <w:pPr>
              <w:pStyle w:val="18"/>
              <w:widowControl w:val="0"/>
              <w:numPr>
                <w:ilvl w:val="0"/>
                <w:numId w:val="0"/>
              </w:numPr>
              <w:ind w:leftChars="0"/>
              <w:jc w:val="both"/>
              <w:rPr>
                <w:rFonts w:hint="eastAsia" w:ascii="宋体" w:hAnsi="宋体" w:eastAsia="宋体" w:cs="宋体"/>
                <w:color w:val="auto"/>
                <w:highlight w:val="none"/>
              </w:rPr>
            </w:pPr>
            <w:r>
              <w:rPr>
                <w:rFonts w:hint="eastAsia" w:ascii="宋体" w:hAnsi="宋体" w:eastAsia="宋体" w:cs="宋体"/>
                <w:color w:val="auto"/>
                <w:highlight w:val="none"/>
              </w:rPr>
              <w:t>6~9</w:t>
            </w:r>
          </w:p>
        </w:tc>
        <w:tc>
          <w:tcPr>
            <w:tcW w:w="373" w:type="pct"/>
            <w:tcBorders>
              <w:top w:val="single" w:color="auto" w:sz="4" w:space="0"/>
              <w:left w:val="single" w:color="auto" w:sz="4" w:space="0"/>
              <w:bottom w:val="single" w:color="auto" w:sz="12" w:space="0"/>
              <w:right w:val="single" w:color="auto" w:sz="4" w:space="0"/>
            </w:tcBorders>
            <w:noWrap w:val="0"/>
            <w:vAlign w:val="center"/>
          </w:tcPr>
          <w:p w14:paraId="4FD4E86A">
            <w:pPr>
              <w:pStyle w:val="18"/>
              <w:widowControl w:val="0"/>
              <w:numPr>
                <w:ilvl w:val="0"/>
                <w:numId w:val="0"/>
              </w:numPr>
              <w:ind w:leftChars="0"/>
              <w:jc w:val="both"/>
              <w:rPr>
                <w:rFonts w:hint="eastAsia" w:ascii="宋体" w:hAnsi="宋体" w:eastAsia="宋体" w:cs="宋体"/>
                <w:color w:val="auto"/>
                <w:highlight w:val="none"/>
              </w:rPr>
            </w:pPr>
            <w:r>
              <w:rPr>
                <w:rFonts w:hint="eastAsia" w:ascii="宋体" w:hAnsi="宋体" w:eastAsia="宋体" w:cs="宋体"/>
                <w:color w:val="auto"/>
                <w:highlight w:val="none"/>
              </w:rPr>
              <w:t>≦15</w:t>
            </w:r>
          </w:p>
        </w:tc>
        <w:tc>
          <w:tcPr>
            <w:tcW w:w="412" w:type="pct"/>
            <w:tcBorders>
              <w:top w:val="single" w:color="auto" w:sz="4" w:space="0"/>
              <w:left w:val="single" w:color="auto" w:sz="4" w:space="0"/>
              <w:bottom w:val="single" w:color="auto" w:sz="12" w:space="0"/>
              <w:right w:val="single" w:color="auto" w:sz="4" w:space="0"/>
            </w:tcBorders>
            <w:noWrap w:val="0"/>
            <w:vAlign w:val="center"/>
          </w:tcPr>
          <w:p w14:paraId="1CFB7CA3">
            <w:pPr>
              <w:pStyle w:val="18"/>
              <w:widowControl w:val="0"/>
              <w:numPr>
                <w:ilvl w:val="0"/>
                <w:numId w:val="0"/>
              </w:numPr>
              <w:ind w:leftChars="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≦0</w:t>
            </w:r>
            <w:r>
              <w:rPr>
                <w:rFonts w:hint="eastAsia" w:ascii="宋体" w:hAnsi="宋体" w:eastAsia="宋体" w:cs="宋体"/>
                <w:color w:val="auto"/>
                <w:highlight w:val="none"/>
                <w:lang w:val="en-US" w:eastAsia="zh-CN"/>
              </w:rPr>
              <w:t>.2</w:t>
            </w:r>
          </w:p>
        </w:tc>
        <w:tc>
          <w:tcPr>
            <w:tcW w:w="503" w:type="pct"/>
            <w:tcBorders>
              <w:top w:val="single" w:color="auto" w:sz="4" w:space="0"/>
              <w:left w:val="single" w:color="auto" w:sz="4" w:space="0"/>
              <w:bottom w:val="single" w:color="auto" w:sz="12" w:space="0"/>
              <w:right w:val="single" w:color="auto" w:sz="4" w:space="0"/>
            </w:tcBorders>
            <w:noWrap w:val="0"/>
            <w:vAlign w:val="center"/>
          </w:tcPr>
          <w:p w14:paraId="4F432948">
            <w:pPr>
              <w:pStyle w:val="18"/>
              <w:widowControl w:val="0"/>
              <w:numPr>
                <w:ilvl w:val="0"/>
                <w:numId w:val="0"/>
              </w:numPr>
              <w:ind w:leftChars="0"/>
              <w:jc w:val="both"/>
              <w:rPr>
                <w:rFonts w:hint="eastAsia" w:ascii="宋体" w:hAnsi="宋体" w:eastAsia="宋体" w:cs="宋体"/>
                <w:color w:val="auto"/>
                <w:highlight w:val="none"/>
              </w:rPr>
            </w:pPr>
            <w:r>
              <w:rPr>
                <w:rFonts w:hint="eastAsia" w:ascii="宋体" w:hAnsi="宋体" w:eastAsia="宋体" w:cs="宋体"/>
                <w:color w:val="auto"/>
                <w:highlight w:val="none"/>
              </w:rPr>
              <w:t>≦8</w:t>
            </w:r>
          </w:p>
        </w:tc>
        <w:tc>
          <w:tcPr>
            <w:tcW w:w="818" w:type="pct"/>
            <w:tcBorders>
              <w:top w:val="single" w:color="auto" w:sz="4" w:space="0"/>
              <w:left w:val="single" w:color="auto" w:sz="4" w:space="0"/>
              <w:bottom w:val="single" w:color="auto" w:sz="12" w:space="0"/>
              <w:right w:val="single" w:color="auto" w:sz="4" w:space="0"/>
            </w:tcBorders>
            <w:noWrap w:val="0"/>
            <w:vAlign w:val="center"/>
          </w:tcPr>
          <w:p w14:paraId="1199774E">
            <w:pPr>
              <w:pStyle w:val="18"/>
              <w:widowControl w:val="0"/>
              <w:numPr>
                <w:ilvl w:val="0"/>
                <w:numId w:val="0"/>
              </w:numPr>
              <w:ind w:leftChars="0"/>
              <w:jc w:val="both"/>
              <w:rPr>
                <w:rFonts w:hint="eastAsia" w:ascii="宋体" w:hAnsi="宋体" w:eastAsia="宋体" w:cs="宋体"/>
                <w:color w:val="auto"/>
                <w:highlight w:val="none"/>
              </w:rPr>
            </w:pPr>
            <w:r>
              <w:rPr>
                <w:rFonts w:hint="eastAsia" w:ascii="宋体" w:hAnsi="宋体" w:eastAsia="宋体" w:cs="宋体"/>
                <w:color w:val="auto"/>
                <w:highlight w:val="none"/>
              </w:rPr>
              <w:t>≦100MPN/L</w:t>
            </w:r>
          </w:p>
        </w:tc>
        <w:tc>
          <w:tcPr>
            <w:tcW w:w="566" w:type="pct"/>
            <w:tcBorders>
              <w:top w:val="single" w:color="auto" w:sz="4" w:space="0"/>
              <w:left w:val="single" w:color="auto" w:sz="4" w:space="0"/>
              <w:bottom w:val="single" w:color="auto" w:sz="12" w:space="0"/>
              <w:right w:val="single" w:color="auto" w:sz="12" w:space="0"/>
            </w:tcBorders>
            <w:noWrap w:val="0"/>
            <w:vAlign w:val="center"/>
          </w:tcPr>
          <w:p w14:paraId="467F9959">
            <w:pPr>
              <w:pStyle w:val="18"/>
              <w:widowControl w:val="0"/>
              <w:numPr>
                <w:ilvl w:val="0"/>
                <w:numId w:val="0"/>
              </w:numPr>
              <w:ind w:leftChars="0"/>
              <w:jc w:val="both"/>
              <w:rPr>
                <w:rFonts w:hint="eastAsia" w:ascii="宋体" w:hAnsi="宋体" w:eastAsia="宋体" w:cs="宋体"/>
                <w:color w:val="auto"/>
                <w:highlight w:val="none"/>
              </w:rPr>
            </w:pPr>
            <w:r>
              <w:rPr>
                <w:rFonts w:hint="eastAsia" w:ascii="宋体" w:hAnsi="宋体" w:eastAsia="宋体" w:cs="宋体"/>
                <w:color w:val="auto"/>
                <w:highlight w:val="none"/>
              </w:rPr>
              <w:t>≦0.5</w:t>
            </w:r>
          </w:p>
        </w:tc>
      </w:tr>
    </w:tbl>
    <w:p w14:paraId="2FAC34DC">
      <w:pPr>
        <w:pStyle w:val="16"/>
        <w:spacing w:before="240" w:line="360" w:lineRule="auto"/>
        <w:ind w:left="0" w:leftChars="0"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污水处理站恶臭排放标准执行《医疗机构水污染排放标准》（GB18466-2005）</w:t>
      </w:r>
      <w:r>
        <w:rPr>
          <w:rFonts w:hint="eastAsia" w:ascii="宋体" w:hAnsi="宋体" w:eastAsia="宋体" w:cs="宋体"/>
          <w:color w:val="auto"/>
          <w:sz w:val="30"/>
          <w:szCs w:val="30"/>
          <w:highlight w:val="none"/>
          <w:lang w:val="en-US" w:eastAsia="zh-CN"/>
        </w:rPr>
        <w:t>及及《恶臭污染物排放标准》（GB14554-1993）</w:t>
      </w:r>
      <w:r>
        <w:rPr>
          <w:rFonts w:hint="eastAsia" w:ascii="宋体" w:hAnsi="宋体" w:eastAsia="宋体" w:cs="宋体"/>
          <w:color w:val="auto"/>
          <w:sz w:val="30"/>
          <w:szCs w:val="30"/>
          <w:highlight w:val="none"/>
        </w:rPr>
        <w:t>中关于废气排放要求的规定。</w:t>
      </w:r>
    </w:p>
    <w:p w14:paraId="7A24202F">
      <w:pPr>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噪声排放执行《工业企业厂界环境噪声排放标准》（GB12348-2008）中</w:t>
      </w:r>
      <w:r>
        <w:rPr>
          <w:rFonts w:hint="eastAsia" w:ascii="宋体" w:hAnsi="宋体" w:eastAsia="宋体" w:cs="宋体"/>
          <w:color w:val="auto"/>
          <w:sz w:val="30"/>
          <w:szCs w:val="30"/>
          <w:highlight w:val="none"/>
          <w:lang w:val="en-US" w:eastAsia="zh-CN"/>
        </w:rPr>
        <w:t>1</w:t>
      </w:r>
      <w:r>
        <w:rPr>
          <w:rFonts w:hint="eastAsia" w:ascii="宋体" w:hAnsi="宋体" w:eastAsia="宋体" w:cs="宋体"/>
          <w:color w:val="auto"/>
          <w:sz w:val="30"/>
          <w:szCs w:val="30"/>
          <w:highlight w:val="none"/>
        </w:rPr>
        <w:t>类标准。</w:t>
      </w:r>
    </w:p>
    <w:p w14:paraId="2A741972">
      <w:pPr>
        <w:spacing w:line="560" w:lineRule="exact"/>
        <w:ind w:firstLine="640" w:firstLineChars="200"/>
        <w:jc w:val="left"/>
        <w:textAlignment w:val="baseline"/>
        <w:rPr>
          <w:rFonts w:hint="eastAsia" w:ascii="宋体" w:hAnsi="宋体" w:eastAsia="宋体" w:cs="宋体"/>
          <w:color w:val="auto"/>
          <w:spacing w:val="10"/>
          <w:sz w:val="30"/>
          <w:szCs w:val="30"/>
          <w:highlight w:val="none"/>
        </w:rPr>
      </w:pPr>
      <w:r>
        <w:rPr>
          <w:rFonts w:hint="eastAsia" w:ascii="宋体" w:hAnsi="宋体" w:eastAsia="宋体" w:cs="宋体"/>
          <w:color w:val="auto"/>
          <w:spacing w:val="10"/>
          <w:sz w:val="30"/>
          <w:szCs w:val="30"/>
          <w:highlight w:val="none"/>
        </w:rPr>
        <w:t>4、对环保部门、市政水务以及卫生监督</w:t>
      </w:r>
      <w:r>
        <w:rPr>
          <w:rFonts w:hint="eastAsia" w:ascii="宋体" w:hAnsi="宋体" w:eastAsia="宋体" w:cs="宋体"/>
          <w:color w:val="auto"/>
          <w:spacing w:val="10"/>
          <w:sz w:val="30"/>
          <w:szCs w:val="30"/>
          <w:highlight w:val="none"/>
          <w:lang w:val="en-US" w:eastAsia="zh-CN"/>
        </w:rPr>
        <w:t>等</w:t>
      </w:r>
      <w:r>
        <w:rPr>
          <w:rFonts w:hint="eastAsia" w:ascii="宋体" w:hAnsi="宋体" w:eastAsia="宋体" w:cs="宋体"/>
          <w:color w:val="auto"/>
          <w:spacing w:val="10"/>
          <w:sz w:val="30"/>
          <w:szCs w:val="30"/>
          <w:highlight w:val="none"/>
        </w:rPr>
        <w:t>部门的检查应予以积极配合。</w:t>
      </w:r>
    </w:p>
    <w:p w14:paraId="5CB74BE3">
      <w:pPr>
        <w:spacing w:line="560" w:lineRule="exact"/>
        <w:ind w:firstLine="640" w:firstLineChars="200"/>
        <w:jc w:val="left"/>
        <w:textAlignment w:val="baseline"/>
        <w:rPr>
          <w:rFonts w:hint="eastAsia" w:ascii="宋体" w:hAnsi="宋体" w:eastAsia="宋体" w:cs="宋体"/>
          <w:color w:val="auto"/>
          <w:spacing w:val="10"/>
          <w:sz w:val="30"/>
          <w:szCs w:val="30"/>
          <w:highlight w:val="none"/>
        </w:rPr>
      </w:pPr>
      <w:r>
        <w:rPr>
          <w:rFonts w:hint="eastAsia" w:ascii="宋体" w:hAnsi="宋体" w:eastAsia="宋体" w:cs="宋体"/>
          <w:color w:val="auto"/>
          <w:spacing w:val="10"/>
          <w:sz w:val="30"/>
          <w:szCs w:val="30"/>
          <w:highlight w:val="none"/>
        </w:rPr>
        <w:t>5、水质检测</w:t>
      </w:r>
    </w:p>
    <w:p w14:paraId="43723CAD">
      <w:pPr>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乙方每日对出水进行pH，生化池沉降比，厌氧池、缺氧池、好氧池溶解氧进行监测并记录，仪器设备需自行采购。</w:t>
      </w:r>
    </w:p>
    <w:p w14:paraId="68ED1367">
      <w:pPr>
        <w:spacing w:line="60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四、费用支付</w:t>
      </w:r>
    </w:p>
    <w:p w14:paraId="75D56B68">
      <w:pPr>
        <w:tabs>
          <w:tab w:val="left" w:pos="434"/>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1、运维管理费每年￥：</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u w:val="single"/>
        </w:rPr>
        <w:t>元</w:t>
      </w:r>
      <w:r>
        <w:rPr>
          <w:rFonts w:hint="eastAsia" w:ascii="宋体" w:hAnsi="宋体" w:eastAsia="宋体" w:cs="宋体"/>
          <w:color w:val="auto"/>
          <w:sz w:val="30"/>
          <w:szCs w:val="30"/>
          <w:highlight w:val="none"/>
          <w:u w:val="single"/>
          <w:lang w:eastAsia="zh-CN"/>
        </w:rPr>
        <w:t>，</w:t>
      </w:r>
      <w:r>
        <w:rPr>
          <w:rFonts w:hint="eastAsia" w:ascii="宋体" w:hAnsi="宋体" w:eastAsia="宋体" w:cs="宋体"/>
          <w:color w:val="auto"/>
          <w:sz w:val="30"/>
          <w:szCs w:val="30"/>
          <w:highlight w:val="none"/>
          <w:u w:val="single"/>
        </w:rPr>
        <w:t>（人民币）大写：</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rPr>
        <w:t>；包含人工工资成本、日常设备维修保养费、环保营运管理费、</w:t>
      </w:r>
      <w:r>
        <w:rPr>
          <w:rFonts w:hint="eastAsia" w:ascii="宋体" w:hAnsi="宋体" w:eastAsia="宋体" w:cs="宋体"/>
          <w:color w:val="auto"/>
          <w:sz w:val="30"/>
          <w:szCs w:val="30"/>
          <w:highlight w:val="none"/>
          <w:lang w:val="en-US" w:eastAsia="zh-CN"/>
        </w:rPr>
        <w:t>药剂费用（包含：絮凝剂、消毒剂、混凝剂、除磷剂等）、</w:t>
      </w:r>
      <w:r>
        <w:rPr>
          <w:rFonts w:hint="eastAsia" w:ascii="宋体" w:hAnsi="宋体" w:eastAsia="宋体" w:cs="宋体"/>
          <w:color w:val="auto"/>
          <w:sz w:val="30"/>
          <w:szCs w:val="30"/>
          <w:highlight w:val="none"/>
        </w:rPr>
        <w:t>税金、劳保、办公、社保及与本项目相关的所有费用。</w:t>
      </w:r>
    </w:p>
    <w:p w14:paraId="3234B1B1">
      <w:pPr>
        <w:ind w:firstLine="600" w:firstLineChars="200"/>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2、运维管理费支付方式：污水处理站运行稳定、设施维护到位、出水达标排放并经考核合格后每季度</w:t>
      </w:r>
      <w:r>
        <w:rPr>
          <w:rFonts w:hint="eastAsia" w:ascii="宋体" w:hAnsi="宋体" w:cs="宋体"/>
          <w:color w:val="auto"/>
          <w:sz w:val="30"/>
          <w:szCs w:val="30"/>
          <w:highlight w:val="none"/>
          <w:lang w:val="en-US" w:eastAsia="zh-CN"/>
        </w:rPr>
        <w:t>结算一次，按照供应商提供的合规发票后</w:t>
      </w:r>
      <w:r>
        <w:rPr>
          <w:rFonts w:hint="eastAsia" w:ascii="宋体" w:hAnsi="宋体" w:eastAsia="宋体" w:cs="宋体"/>
          <w:color w:val="auto"/>
          <w:sz w:val="30"/>
          <w:szCs w:val="30"/>
          <w:highlight w:val="none"/>
        </w:rPr>
        <w:t>支付运营维护费：</w:t>
      </w:r>
      <w:r>
        <w:rPr>
          <w:rFonts w:hint="eastAsia" w:ascii="宋体" w:hAnsi="宋体" w:eastAsia="宋体" w:cs="宋体"/>
          <w:color w:val="auto"/>
          <w:sz w:val="30"/>
          <w:szCs w:val="30"/>
          <w:highlight w:val="none"/>
          <w:u w:val="single"/>
        </w:rPr>
        <w:t>￥：</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u w:val="single"/>
        </w:rPr>
        <w:t>元，（人民币）大写：</w:t>
      </w:r>
      <w:r>
        <w:rPr>
          <w:rFonts w:hint="eastAsia" w:ascii="宋体" w:hAnsi="宋体" w:eastAsia="宋体" w:cs="宋体"/>
          <w:color w:val="auto"/>
          <w:sz w:val="30"/>
          <w:szCs w:val="30"/>
          <w:highlight w:val="none"/>
          <w:u w:val="single"/>
          <w:lang w:val="en-US" w:eastAsia="zh-CN"/>
        </w:rPr>
        <w:t xml:space="preserve">         。</w:t>
      </w:r>
    </w:p>
    <w:p w14:paraId="476EEAA7">
      <w:pPr>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若在运行中出现废水超标排放、设备维护不到位导致的设备损坏、人员不安全事故的发生等现象，待上述问题处理完成后支付运营维护费。</w:t>
      </w:r>
    </w:p>
    <w:p w14:paraId="00C7C280">
      <w:pPr>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3、支付账户及账号</w:t>
      </w:r>
    </w:p>
    <w:p w14:paraId="5624CF45">
      <w:pPr>
        <w:spacing w:line="580" w:lineRule="exact"/>
        <w:ind w:firstLine="600" w:firstLineChars="200"/>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开户行：</w:t>
      </w: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u w:val="single"/>
        </w:rPr>
        <w:t xml:space="preserve">  </w:t>
      </w:r>
    </w:p>
    <w:p w14:paraId="2697FBF3">
      <w:pPr>
        <w:spacing w:line="580" w:lineRule="exact"/>
        <w:ind w:firstLine="600" w:firstLineChars="200"/>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账  号：</w:t>
      </w: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w w:val="90"/>
          <w:sz w:val="30"/>
          <w:szCs w:val="30"/>
          <w:highlight w:val="none"/>
          <w:u w:val="single"/>
        </w:rPr>
        <w:t xml:space="preserve">   </w:t>
      </w:r>
    </w:p>
    <w:p w14:paraId="269A200E">
      <w:pPr>
        <w:spacing w:line="60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五、人员要求</w:t>
      </w:r>
    </w:p>
    <w:p w14:paraId="4B70C701">
      <w:pPr>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lang w:val="en-US" w:eastAsia="zh-CN"/>
        </w:rPr>
        <w:t>1</w:t>
      </w:r>
      <w:r>
        <w:rPr>
          <w:rFonts w:hint="eastAsia" w:ascii="宋体" w:hAnsi="宋体" w:eastAsia="宋体" w:cs="宋体"/>
          <w:color w:val="auto"/>
          <w:sz w:val="30"/>
          <w:szCs w:val="30"/>
          <w:highlight w:val="none"/>
        </w:rPr>
        <w:t>、污水处理站技术管理</w:t>
      </w:r>
      <w:r>
        <w:rPr>
          <w:rFonts w:hint="eastAsia" w:ascii="宋体" w:hAnsi="宋体" w:eastAsia="宋体" w:cs="宋体"/>
          <w:color w:val="auto"/>
          <w:sz w:val="30"/>
          <w:szCs w:val="30"/>
          <w:highlight w:val="none"/>
          <w:lang w:val="en-US" w:eastAsia="zh-CN"/>
        </w:rPr>
        <w:t>人员1</w:t>
      </w:r>
      <w:r>
        <w:rPr>
          <w:rFonts w:hint="eastAsia" w:ascii="宋体" w:hAnsi="宋体" w:eastAsia="宋体" w:cs="宋体"/>
          <w:color w:val="auto"/>
          <w:sz w:val="30"/>
          <w:szCs w:val="30"/>
          <w:highlight w:val="none"/>
        </w:rPr>
        <w:t>名：全面负责污水处理站运维管理，按期向医院报告污水处理站运营、管理情况，办理有关环保工作的例行管理手续，向环保部门报送运行记录资料，接受环保管理部门、卫生部门和市政等部门的日常检查工作。负责污水处理站工艺系统参数调整、生化系统、工艺设备、构筑物管理与检修；电气主管主要负责远程控制、配电系统及电路线网的管理与检修。</w:t>
      </w:r>
    </w:p>
    <w:p w14:paraId="5C29B886">
      <w:pPr>
        <w:ind w:firstLine="600" w:firstLineChars="200"/>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3、污水处理站运</w:t>
      </w:r>
      <w:r>
        <w:rPr>
          <w:rFonts w:hint="eastAsia" w:ascii="宋体" w:hAnsi="宋体" w:eastAsia="宋体" w:cs="宋体"/>
          <w:color w:val="auto"/>
          <w:sz w:val="30"/>
          <w:szCs w:val="30"/>
          <w:highlight w:val="none"/>
          <w:lang w:val="en-US" w:eastAsia="zh-CN"/>
        </w:rPr>
        <w:t>维</w:t>
      </w:r>
      <w:r>
        <w:rPr>
          <w:rFonts w:hint="eastAsia" w:ascii="宋体" w:hAnsi="宋体" w:eastAsia="宋体" w:cs="宋体"/>
          <w:color w:val="auto"/>
          <w:sz w:val="30"/>
          <w:szCs w:val="30"/>
          <w:highlight w:val="none"/>
        </w:rPr>
        <w:t>人员</w:t>
      </w:r>
      <w:r>
        <w:rPr>
          <w:rFonts w:hint="eastAsia" w:ascii="宋体" w:hAnsi="宋体" w:eastAsia="宋体" w:cs="宋体"/>
          <w:color w:val="auto"/>
          <w:sz w:val="30"/>
          <w:szCs w:val="30"/>
          <w:highlight w:val="none"/>
          <w:lang w:val="en-US" w:eastAsia="zh-CN"/>
        </w:rPr>
        <w:t>3</w:t>
      </w:r>
      <w:r>
        <w:rPr>
          <w:rFonts w:hint="eastAsia" w:ascii="宋体" w:hAnsi="宋体" w:eastAsia="宋体" w:cs="宋体"/>
          <w:color w:val="auto"/>
          <w:sz w:val="30"/>
          <w:szCs w:val="30"/>
          <w:highlight w:val="none"/>
        </w:rPr>
        <w:t>名：主要负责运行、操作及设备的运行管理、维护等</w:t>
      </w:r>
      <w:r>
        <w:rPr>
          <w:rFonts w:hint="eastAsia" w:ascii="宋体" w:hAnsi="宋体" w:eastAsia="宋体" w:cs="宋体"/>
          <w:color w:val="auto"/>
          <w:sz w:val="30"/>
          <w:szCs w:val="30"/>
          <w:highlight w:val="none"/>
          <w:lang w:eastAsia="zh-CN"/>
        </w:rPr>
        <w:t>。</w:t>
      </w:r>
    </w:p>
    <w:p w14:paraId="5406443E">
      <w:pPr>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4、乙方所有工作人员上岗资质证书原件需交医院进行管理备案，并在运维期结束后反还乙方。</w:t>
      </w:r>
    </w:p>
    <w:p w14:paraId="774C78F6">
      <w:pPr>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5、污水处理站实行全天候24小时值班制度，工作必须遵守医院相关管理制度；着装整齐、佩戴工牌、仪表做到干净整洁，按时到岗、不迟到早退、工作时间不得擅自离岗、串岗或做与工作无关的事情。</w:t>
      </w:r>
    </w:p>
    <w:p w14:paraId="787E259D">
      <w:pPr>
        <w:spacing w:line="60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六、责任义务</w:t>
      </w:r>
    </w:p>
    <w:p w14:paraId="4EAAF82D">
      <w:pPr>
        <w:spacing w:line="360" w:lineRule="auto"/>
        <w:ind w:firstLine="602" w:firstLineChars="2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1、甲方责任义务</w:t>
      </w:r>
    </w:p>
    <w:p w14:paraId="326B3F8F">
      <w:pPr>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（1）甲方按照国家、省、市、行业有关法律、法规、标准、规范以及医院相关管理规章制度进行监督管理。</w:t>
      </w:r>
    </w:p>
    <w:p w14:paraId="215C09AF">
      <w:pPr>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（2）甲方每月对乙方进行不定期不定时监督检查，并进行考核评定；若不按照规范或合同执行要求执行责令限期整改，对于未整改或整改不到位者给予每季度运维费用的30%作为违约金并在合同款中扣除。</w:t>
      </w:r>
    </w:p>
    <w:p w14:paraId="1FDF33A8">
      <w:pPr>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（3）甲方有权更换乙方不服从甲方管理，未按照操作规范进行运行的工作人员，并由乙方承担相应责任。</w:t>
      </w:r>
    </w:p>
    <w:p w14:paraId="2A9F7E53">
      <w:pPr>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（4）甲方保障污水处理站设施运维所要的水、电以及消毒药品，如遇突发停水、停电或药品供应短缺及时通知乙方并启动突发环境事件应急预案。</w:t>
      </w:r>
    </w:p>
    <w:p w14:paraId="3B196F8D">
      <w:pPr>
        <w:spacing w:line="360" w:lineRule="auto"/>
        <w:ind w:firstLine="48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（5）甲方为乙方在污水运行管理服务过程中提供必要的协调和协助支持，以便共同搞好污水处理设施运维管理。</w:t>
      </w:r>
    </w:p>
    <w:p w14:paraId="7D25B3B5">
      <w:pPr>
        <w:spacing w:line="360" w:lineRule="auto"/>
        <w:ind w:firstLine="602" w:firstLineChars="2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2、乙方责任义务</w:t>
      </w:r>
    </w:p>
    <w:p w14:paraId="106A08C9">
      <w:pPr>
        <w:tabs>
          <w:tab w:val="left" w:pos="0"/>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（1）乙方运维期间，污水处理站处理之后废水应达到国家、省市以及行业有关标准规范；并协助甲方提出一切切实可行的技术措施，全方位为污水处理站高效、经济、环保运行提供技术服务。</w:t>
      </w:r>
    </w:p>
    <w:p w14:paraId="236F5F9E">
      <w:pPr>
        <w:tabs>
          <w:tab w:val="left" w:pos="0"/>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（2）乙方须按照甲方的规定配备技术经验丰富的管理及运行人员，定期开展安全、技术及应急培训并记录在案；每年开展突发环境事件应急预案演练，检验应急处置能力并查找短缺。</w:t>
      </w:r>
    </w:p>
    <w:p w14:paraId="3A5077ED">
      <w:pPr>
        <w:tabs>
          <w:tab w:val="left" w:pos="0"/>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3）乙方在运维期间，必须严格按污水处理站设备操作规程、安全操作规程进行操作，确保污水处理达标排放，并保证人身安全。如果在合同期内发生重大过失造成安全责任事故、经济损失或人员伤亡，责任完全由乙方负责并承担甲方经济损失。</w:t>
      </w:r>
    </w:p>
    <w:p w14:paraId="6ADAEFC6">
      <w:pPr>
        <w:tabs>
          <w:tab w:val="left" w:pos="448"/>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（4）</w:t>
      </w:r>
      <w:r>
        <w:rPr>
          <w:rFonts w:hint="eastAsia" w:ascii="宋体" w:hAnsi="宋体" w:eastAsia="宋体" w:cs="宋体"/>
          <w:color w:val="auto"/>
          <w:sz w:val="30"/>
          <w:szCs w:val="30"/>
          <w:highlight w:val="none"/>
          <w:shd w:val="clear" w:color="auto" w:fill="FFFFFF"/>
        </w:rPr>
        <w:t>按照《医疗废物管理条规定》为从事医疗废物转运</w:t>
      </w:r>
      <w:r>
        <w:rPr>
          <w:rFonts w:hint="eastAsia" w:ascii="宋体" w:hAnsi="宋体" w:eastAsia="宋体" w:cs="宋体"/>
          <w:color w:val="auto"/>
          <w:sz w:val="30"/>
          <w:szCs w:val="30"/>
          <w:highlight w:val="none"/>
        </w:rPr>
        <w:t>、污水处理站运行人员提供安全防护用品、安全作业工具并进行健康体检，以备卫生监督部门的检查和保障工作人员的身体健康。</w:t>
      </w:r>
    </w:p>
    <w:p w14:paraId="2934D984">
      <w:pPr>
        <w:tabs>
          <w:tab w:val="left" w:pos="0"/>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（5）污水处理站的运行日志、监测记录、维修记录、固体废弃物处理台帐、污水排放记录表等必须由乙方详实纪录并妥善保存，当合同期满后，完整移交给甲方。</w:t>
      </w:r>
    </w:p>
    <w:p w14:paraId="42BE2123">
      <w:pPr>
        <w:tabs>
          <w:tab w:val="left" w:pos="0"/>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（6）乙方工作人员必须遵守医院的各项规章制度，服从甲方管理人员检查和监督。并且要保护好站内的一切公共设施、消防设施及保持周边环境卫生，违者按甲方规定处罚。</w:t>
      </w:r>
    </w:p>
    <w:p w14:paraId="5D5B8230">
      <w:pPr>
        <w:tabs>
          <w:tab w:val="left" w:pos="0"/>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（7）污水处理当中产生的固体废物，由</w:t>
      </w:r>
      <w:r>
        <w:rPr>
          <w:rFonts w:hint="eastAsia" w:ascii="宋体" w:hAnsi="宋体" w:eastAsia="宋体" w:cs="宋体"/>
          <w:color w:val="auto"/>
          <w:sz w:val="30"/>
          <w:szCs w:val="30"/>
          <w:highlight w:val="none"/>
          <w:lang w:val="en-US" w:eastAsia="zh-CN"/>
        </w:rPr>
        <w:t>乙</w:t>
      </w:r>
      <w:r>
        <w:rPr>
          <w:rFonts w:hint="eastAsia" w:ascii="宋体" w:hAnsi="宋体" w:eastAsia="宋体" w:cs="宋体"/>
          <w:color w:val="auto"/>
          <w:sz w:val="30"/>
          <w:szCs w:val="30"/>
          <w:highlight w:val="none"/>
        </w:rPr>
        <w:t>方负责按生态环境部门的相关规定进行处理</w:t>
      </w:r>
      <w:r>
        <w:rPr>
          <w:rFonts w:hint="eastAsia" w:ascii="宋体" w:hAnsi="宋体" w:cs="宋体"/>
          <w:color w:val="auto"/>
          <w:sz w:val="30"/>
          <w:szCs w:val="30"/>
          <w:highlight w:val="none"/>
          <w:lang w:eastAsia="zh-CN"/>
        </w:rPr>
        <w:t>，</w:t>
      </w:r>
      <w:r>
        <w:rPr>
          <w:rFonts w:hint="eastAsia" w:ascii="宋体" w:hAnsi="宋体" w:eastAsia="宋体" w:cs="宋体"/>
          <w:color w:val="auto"/>
          <w:sz w:val="24"/>
          <w:szCs w:val="28"/>
          <w:highlight w:val="none"/>
        </w:rPr>
        <w:t>统一收集，</w:t>
      </w:r>
      <w:r>
        <w:rPr>
          <w:rFonts w:hint="eastAsia" w:ascii="宋体" w:hAnsi="宋体" w:cs="宋体"/>
          <w:color w:val="auto"/>
          <w:sz w:val="24"/>
          <w:szCs w:val="28"/>
          <w:highlight w:val="none"/>
          <w:lang w:val="en-US" w:eastAsia="zh-CN"/>
        </w:rPr>
        <w:t>存放在统一指定位置。</w:t>
      </w:r>
      <w:r>
        <w:rPr>
          <w:rFonts w:hint="eastAsia" w:ascii="宋体" w:hAnsi="宋体" w:eastAsia="宋体" w:cs="宋体"/>
          <w:color w:val="auto"/>
          <w:sz w:val="30"/>
          <w:szCs w:val="30"/>
          <w:highlight w:val="none"/>
        </w:rPr>
        <w:t>。</w:t>
      </w:r>
    </w:p>
    <w:p w14:paraId="57EC5977">
      <w:pPr>
        <w:tabs>
          <w:tab w:val="left" w:pos="0"/>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（8）乙方应保证污水处理站设施每日正常运行，及时对系统设备、设施运行过程的故障进行及时维修维护，按照甲方规定进行系统定期维护保养、清淤清渣工作。</w:t>
      </w:r>
    </w:p>
    <w:p w14:paraId="52F5EEAB">
      <w:pPr>
        <w:tabs>
          <w:tab w:val="left" w:pos="900"/>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（9）因设施设备检修需停机时或突发意外情况时乙方应及时向甲方汇报情况，并按照突发事件应急预案妥善处理。</w:t>
      </w:r>
    </w:p>
    <w:p w14:paraId="68E935F8">
      <w:pPr>
        <w:tabs>
          <w:tab w:val="left" w:pos="0"/>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（10）如果乙方因故与甲方解除合同，必须提前两个月通知甲方，否则视为违约，甲方因故与乙方解除合同，应提前一个月通知乙方，否则视为违约。</w:t>
      </w:r>
    </w:p>
    <w:p w14:paraId="2CC1251F">
      <w:pPr>
        <w:spacing w:line="60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七、违约责任</w:t>
      </w:r>
    </w:p>
    <w:p w14:paraId="4A5FB02F">
      <w:pPr>
        <w:tabs>
          <w:tab w:val="left" w:pos="0"/>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1、本合同签订完后交甲方所在地环保部门备案，如污水处理不达标排放，或造成重大污染事故，造成相关部门罚款应由乙方负全部责任并承担排污费及相关罚款。如给第三方造成损失应由乙方全部承担相关责任。</w:t>
      </w:r>
    </w:p>
    <w:p w14:paraId="42D6FC72">
      <w:pPr>
        <w:tabs>
          <w:tab w:val="left" w:pos="0"/>
        </w:tabs>
        <w:spacing w:line="360" w:lineRule="auto"/>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2、乙方运营期间，保证甲方的设备设施完好无损，正常运行，严格按照处理工艺执行，保证污水处理达标。如造成损坏必须在甲方规定的时间内彻底整改，费用由乙方承担。</w:t>
      </w:r>
    </w:p>
    <w:p w14:paraId="7DA1860E">
      <w:pPr>
        <w:spacing w:line="360" w:lineRule="auto"/>
        <w:ind w:firstLine="600" w:firstLineChars="2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3、甲方</w:t>
      </w:r>
      <w:r>
        <w:rPr>
          <w:rFonts w:hint="eastAsia" w:ascii="宋体" w:hAnsi="宋体" w:eastAsia="宋体" w:cs="宋体"/>
          <w:color w:val="auto"/>
          <w:sz w:val="30"/>
          <w:szCs w:val="30"/>
          <w:highlight w:val="none"/>
          <w:lang w:val="en-US" w:eastAsia="zh-CN"/>
        </w:rPr>
        <w:t>不定时</w:t>
      </w:r>
      <w:r>
        <w:rPr>
          <w:rFonts w:hint="eastAsia" w:ascii="宋体" w:hAnsi="宋体" w:eastAsia="宋体" w:cs="宋体"/>
          <w:color w:val="auto"/>
          <w:sz w:val="30"/>
          <w:szCs w:val="30"/>
          <w:highlight w:val="none"/>
        </w:rPr>
        <w:t>对乙方处理后的污水进行检测，如发现乙方处理污水不达标，每超标一次，甲方将在乙方当季的运营管理费用中扣除10%作为乙方违约金。如连续两</w:t>
      </w:r>
      <w:r>
        <w:rPr>
          <w:rFonts w:hint="eastAsia" w:ascii="宋体" w:hAnsi="宋体" w:eastAsia="宋体" w:cs="宋体"/>
          <w:color w:val="auto"/>
          <w:sz w:val="30"/>
          <w:szCs w:val="30"/>
          <w:highlight w:val="none"/>
          <w:lang w:val="en-US" w:eastAsia="zh-CN"/>
        </w:rPr>
        <w:t>次</w:t>
      </w:r>
      <w:r>
        <w:rPr>
          <w:rFonts w:hint="eastAsia" w:ascii="宋体" w:hAnsi="宋体" w:eastAsia="宋体" w:cs="宋体"/>
          <w:color w:val="auto"/>
          <w:sz w:val="30"/>
          <w:szCs w:val="30"/>
          <w:highlight w:val="none"/>
        </w:rPr>
        <w:t>出现超标情况甲方扣除乙方当月的运维管理费用并可以解除合同。</w:t>
      </w:r>
    </w:p>
    <w:p w14:paraId="2BDE5C74">
      <w:pPr>
        <w:spacing w:line="360" w:lineRule="auto"/>
        <w:ind w:firstLine="600" w:firstLineChars="2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4、乙方运维期间未按照甲方规定人数上岗工作，未上岗人员费用以违约金形式在每季度运维费中扣除。</w:t>
      </w:r>
    </w:p>
    <w:p w14:paraId="6F9860BB">
      <w:pPr>
        <w:spacing w:line="360" w:lineRule="auto"/>
        <w:ind w:firstLine="600" w:firstLineChars="2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5、乙方在运维期间严格遵照危险品（</w:t>
      </w:r>
      <w:r>
        <w:rPr>
          <w:rFonts w:hint="eastAsia" w:ascii="宋体" w:hAnsi="宋体" w:eastAsia="宋体" w:cs="宋体"/>
          <w:color w:val="auto"/>
          <w:sz w:val="30"/>
          <w:szCs w:val="30"/>
          <w:highlight w:val="none"/>
          <w:lang w:val="en-US" w:eastAsia="zh-CN"/>
        </w:rPr>
        <w:t>如：</w:t>
      </w:r>
      <w:r>
        <w:rPr>
          <w:rFonts w:hint="eastAsia" w:ascii="宋体" w:hAnsi="宋体" w:eastAsia="宋体" w:cs="宋体"/>
          <w:color w:val="auto"/>
          <w:sz w:val="30"/>
          <w:szCs w:val="30"/>
          <w:highlight w:val="none"/>
        </w:rPr>
        <w:t>消毒药剂</w:t>
      </w:r>
      <w:r>
        <w:rPr>
          <w:rFonts w:hint="eastAsia" w:ascii="宋体" w:hAnsi="宋体" w:eastAsia="宋体" w:cs="宋体"/>
          <w:color w:val="auto"/>
          <w:sz w:val="30"/>
          <w:szCs w:val="30"/>
          <w:highlight w:val="none"/>
          <w:lang w:val="en-US" w:eastAsia="zh-CN"/>
        </w:rPr>
        <w:t>等</w:t>
      </w:r>
      <w:r>
        <w:rPr>
          <w:rFonts w:hint="eastAsia" w:ascii="宋体" w:hAnsi="宋体" w:eastAsia="宋体" w:cs="宋体"/>
          <w:color w:val="auto"/>
          <w:sz w:val="30"/>
          <w:szCs w:val="30"/>
          <w:highlight w:val="none"/>
        </w:rPr>
        <w:t>）安全管理规定保管，如有丢失应协助公安机关进行调查，待调查结束扣除本季度运维管理费并立即解除合同关系。</w:t>
      </w:r>
    </w:p>
    <w:p w14:paraId="2F5EB3E7">
      <w:pPr>
        <w:spacing w:line="360" w:lineRule="auto"/>
        <w:ind w:firstLine="600" w:firstLineChars="2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5、甲方制定污水处理站考核办法并作为合同有效附件，甲方每季度付款以三个月考核评估平均分作为付款依据；平均分大于85分方可付款，小于85分每少一分以违约金</w:t>
      </w:r>
      <w:r>
        <w:rPr>
          <w:rFonts w:hint="eastAsia" w:ascii="宋体" w:hAnsi="宋体" w:eastAsia="宋体" w:cs="宋体"/>
          <w:color w:val="auto"/>
          <w:sz w:val="30"/>
          <w:szCs w:val="30"/>
          <w:highlight w:val="none"/>
          <w:lang w:val="en-US" w:eastAsia="zh-CN"/>
        </w:rPr>
        <w:t>1000</w:t>
      </w:r>
      <w:r>
        <w:rPr>
          <w:rFonts w:hint="eastAsia" w:ascii="宋体" w:hAnsi="宋体" w:eastAsia="宋体" w:cs="宋体"/>
          <w:color w:val="auto"/>
          <w:sz w:val="30"/>
          <w:szCs w:val="30"/>
          <w:highlight w:val="none"/>
        </w:rPr>
        <w:t>元从季度运维费用中扣除。</w:t>
      </w:r>
    </w:p>
    <w:p w14:paraId="17D996C8">
      <w:pPr>
        <w:spacing w:line="360" w:lineRule="auto"/>
        <w:ind w:firstLine="600" w:firstLineChars="2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 xml:space="preserve"> 7、如一方违反有关法律规定或违约，另一方有权解除合同，违约方应赔偿给另一方因违约造成的损失。</w:t>
      </w:r>
    </w:p>
    <w:p w14:paraId="4AB43211">
      <w:pPr>
        <w:spacing w:line="60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八、其他事项</w:t>
      </w:r>
    </w:p>
    <w:p w14:paraId="044E9287">
      <w:pPr>
        <w:ind w:firstLine="640" w:firstLineChars="200"/>
        <w:rPr>
          <w:rFonts w:hint="eastAsia" w:ascii="宋体" w:hAnsi="宋体" w:eastAsia="宋体" w:cs="宋体"/>
          <w:color w:val="auto"/>
          <w:sz w:val="30"/>
          <w:szCs w:val="30"/>
          <w:highlight w:val="none"/>
        </w:rPr>
      </w:pPr>
      <w:r>
        <w:rPr>
          <w:rFonts w:hint="eastAsia" w:ascii="宋体" w:hAnsi="宋体" w:eastAsia="宋体" w:cs="宋体"/>
          <w:color w:val="auto"/>
          <w:spacing w:val="10"/>
          <w:sz w:val="30"/>
          <w:szCs w:val="30"/>
          <w:highlight w:val="none"/>
        </w:rPr>
        <w:t>1、本合同经甲、乙双方法定代表人或授权代表签字，加盖合同专用章后生效。合同一式捌份</w:t>
      </w:r>
      <w:r>
        <w:rPr>
          <w:rFonts w:hint="eastAsia" w:ascii="宋体" w:hAnsi="宋体" w:eastAsia="宋体" w:cs="宋体"/>
          <w:color w:val="auto"/>
          <w:sz w:val="30"/>
          <w:szCs w:val="30"/>
          <w:highlight w:val="none"/>
        </w:rPr>
        <w:t>，甲方陆份、乙方贰份。</w:t>
      </w:r>
    </w:p>
    <w:p w14:paraId="22B4FD50">
      <w:pPr>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2、甲方</w:t>
      </w:r>
      <w:r>
        <w:rPr>
          <w:rFonts w:hint="eastAsia" w:ascii="宋体" w:hAnsi="宋体" w:cs="宋体"/>
          <w:color w:val="auto"/>
          <w:sz w:val="30"/>
          <w:szCs w:val="30"/>
          <w:highlight w:val="none"/>
          <w:lang w:val="en-US" w:eastAsia="zh-CN"/>
        </w:rPr>
        <w:t>磋商</w:t>
      </w:r>
      <w:r>
        <w:rPr>
          <w:rFonts w:hint="eastAsia" w:ascii="宋体" w:hAnsi="宋体" w:eastAsia="宋体" w:cs="宋体"/>
          <w:color w:val="auto"/>
          <w:sz w:val="30"/>
          <w:szCs w:val="30"/>
          <w:highlight w:val="none"/>
        </w:rPr>
        <w:t>文件、乙方</w:t>
      </w:r>
      <w:r>
        <w:rPr>
          <w:rFonts w:hint="eastAsia" w:ascii="宋体" w:hAnsi="宋体" w:cs="宋体"/>
          <w:color w:val="auto"/>
          <w:sz w:val="30"/>
          <w:szCs w:val="30"/>
          <w:highlight w:val="none"/>
          <w:lang w:val="en-US" w:eastAsia="zh-CN"/>
        </w:rPr>
        <w:t>响应</w:t>
      </w:r>
      <w:r>
        <w:rPr>
          <w:rFonts w:hint="eastAsia" w:ascii="宋体" w:hAnsi="宋体" w:eastAsia="宋体" w:cs="宋体"/>
          <w:color w:val="auto"/>
          <w:sz w:val="30"/>
          <w:szCs w:val="30"/>
          <w:highlight w:val="none"/>
        </w:rPr>
        <w:t>文件作为合同有效附件，具有同等法律效力。</w:t>
      </w:r>
    </w:p>
    <w:p w14:paraId="1F77F504">
      <w:pPr>
        <w:spacing w:line="560" w:lineRule="exact"/>
        <w:ind w:firstLine="600" w:firstLineChars="200"/>
        <w:textAlignment w:val="baseline"/>
        <w:rPr>
          <w:rFonts w:hint="eastAsia" w:ascii="宋体" w:hAnsi="宋体" w:eastAsia="宋体" w:cs="宋体"/>
          <w:i/>
          <w:color w:val="auto"/>
          <w:spacing w:val="10"/>
          <w:sz w:val="30"/>
          <w:szCs w:val="30"/>
          <w:highlight w:val="none"/>
        </w:rPr>
      </w:pPr>
      <w:r>
        <w:rPr>
          <w:rFonts w:hint="eastAsia" w:ascii="宋体" w:hAnsi="宋体" w:eastAsia="宋体" w:cs="宋体"/>
          <w:color w:val="auto"/>
          <w:sz w:val="30"/>
          <w:szCs w:val="30"/>
          <w:highlight w:val="none"/>
        </w:rPr>
        <w:t>3、</w:t>
      </w:r>
      <w:r>
        <w:rPr>
          <w:rFonts w:hint="eastAsia" w:ascii="宋体" w:hAnsi="宋体" w:eastAsia="宋体" w:cs="宋体"/>
          <w:color w:val="auto"/>
          <w:spacing w:val="10"/>
          <w:sz w:val="30"/>
          <w:szCs w:val="30"/>
          <w:highlight w:val="none"/>
        </w:rPr>
        <w:t>合同中其他未尽事宜由双方协商解决，并作出补充规定，补充规定与本合同具有同等效力。</w:t>
      </w:r>
    </w:p>
    <w:p w14:paraId="506D5F15">
      <w:pPr>
        <w:pStyle w:val="20"/>
        <w:spacing w:after="0" w:line="360" w:lineRule="auto"/>
        <w:ind w:firstLine="600" w:firstLineChars="200"/>
        <w:rPr>
          <w:rFonts w:hint="eastAsia" w:ascii="宋体" w:hAnsi="宋体" w:eastAsia="宋体" w:cs="宋体"/>
          <w:i w:val="0"/>
          <w:color w:val="auto"/>
          <w:spacing w:val="10"/>
          <w:sz w:val="30"/>
          <w:szCs w:val="30"/>
          <w:highlight w:val="none"/>
        </w:rPr>
      </w:pPr>
      <w:r>
        <w:rPr>
          <w:rFonts w:hint="eastAsia" w:ascii="宋体" w:hAnsi="宋体" w:eastAsia="宋体" w:cs="宋体"/>
          <w:i w:val="0"/>
          <w:color w:val="auto"/>
          <w:sz w:val="30"/>
          <w:szCs w:val="30"/>
          <w:highlight w:val="none"/>
        </w:rPr>
        <w:t>4</w:t>
      </w:r>
      <w:r>
        <w:rPr>
          <w:rFonts w:hint="eastAsia" w:ascii="宋体" w:hAnsi="宋体" w:eastAsia="宋体" w:cs="宋体"/>
          <w:color w:val="auto"/>
          <w:sz w:val="30"/>
          <w:szCs w:val="30"/>
          <w:highlight w:val="none"/>
        </w:rPr>
        <w:t>、</w:t>
      </w:r>
      <w:r>
        <w:rPr>
          <w:rFonts w:hint="eastAsia" w:ascii="宋体" w:hAnsi="宋体" w:eastAsia="宋体" w:cs="宋体"/>
          <w:i w:val="0"/>
          <w:color w:val="auto"/>
          <w:spacing w:val="10"/>
          <w:sz w:val="30"/>
          <w:szCs w:val="30"/>
          <w:highlight w:val="none"/>
        </w:rPr>
        <w:t>本合同发生争议时，由当事人双方协商解决。协商不成，由甲方所在地人民法院起诉。</w:t>
      </w:r>
    </w:p>
    <w:p w14:paraId="63DC7ED0">
      <w:pPr>
        <w:snapToGrid w:val="0"/>
        <w:spacing w:line="360" w:lineRule="auto"/>
        <w:rPr>
          <w:rFonts w:hint="eastAsia" w:ascii="宋体" w:hAnsi="宋体" w:eastAsia="宋体" w:cs="宋体"/>
          <w:bCs/>
          <w:color w:val="auto"/>
          <w:kern w:val="44"/>
          <w:sz w:val="32"/>
          <w:szCs w:val="32"/>
          <w:highlight w:val="none"/>
        </w:rPr>
      </w:pPr>
      <w:r>
        <w:rPr>
          <w:rFonts w:hint="eastAsia" w:ascii="宋体" w:hAnsi="宋体" w:eastAsia="宋体" w:cs="宋体"/>
          <w:bCs/>
          <w:color w:val="auto"/>
          <w:kern w:val="44"/>
          <w:sz w:val="32"/>
          <w:szCs w:val="32"/>
          <w:highlight w:val="none"/>
        </w:rPr>
        <w:t>附件：污水处理站运维监管考核办法</w:t>
      </w:r>
    </w:p>
    <w:p w14:paraId="2F8693DE">
      <w:pPr>
        <w:snapToGrid w:val="0"/>
        <w:spacing w:line="360" w:lineRule="auto"/>
        <w:rPr>
          <w:rFonts w:hint="eastAsia" w:ascii="宋体" w:hAnsi="宋体" w:eastAsia="宋体" w:cs="宋体"/>
          <w:bCs/>
          <w:color w:val="auto"/>
          <w:kern w:val="44"/>
          <w:sz w:val="32"/>
          <w:szCs w:val="32"/>
          <w:highlight w:val="none"/>
        </w:rPr>
      </w:pPr>
    </w:p>
    <w:p w14:paraId="3C2DE5F0">
      <w:pPr>
        <w:snapToGrid w:val="0"/>
        <w:spacing w:line="360" w:lineRule="auto"/>
        <w:rPr>
          <w:rFonts w:hint="eastAsia" w:ascii="宋体" w:hAnsi="宋体" w:eastAsia="宋体" w:cs="宋体"/>
          <w:bCs/>
          <w:color w:val="auto"/>
          <w:kern w:val="44"/>
          <w:sz w:val="32"/>
          <w:szCs w:val="32"/>
          <w:highlight w:val="none"/>
        </w:rPr>
        <w:sectPr>
          <w:footerReference r:id="rId6" w:type="default"/>
          <w:pgSz w:w="11906" w:h="16838"/>
          <w:pgMar w:top="1440" w:right="1800" w:bottom="1440" w:left="1800" w:header="851" w:footer="992" w:gutter="0"/>
          <w:pgNumType w:fmt="decimal"/>
          <w:cols w:space="720" w:num="1"/>
          <w:docGrid w:type="lines" w:linePitch="312" w:charSpace="0"/>
        </w:sectPr>
      </w:pPr>
    </w:p>
    <w:p w14:paraId="41AE3328">
      <w:pPr>
        <w:snapToGrid w:val="0"/>
        <w:spacing w:line="360" w:lineRule="auto"/>
        <w:rPr>
          <w:rFonts w:hint="eastAsia" w:ascii="宋体" w:hAnsi="宋体" w:eastAsia="宋体" w:cs="宋体"/>
          <w:bCs/>
          <w:color w:val="auto"/>
          <w:kern w:val="44"/>
          <w:sz w:val="30"/>
          <w:szCs w:val="30"/>
          <w:highlight w:val="none"/>
        </w:rPr>
        <w:sectPr>
          <w:type w:val="continuous"/>
          <w:pgSz w:w="11906" w:h="16838"/>
          <w:pgMar w:top="1440" w:right="1800" w:bottom="1440" w:left="1800" w:header="851" w:footer="992" w:gutter="0"/>
          <w:pgNumType w:fmt="decimal"/>
          <w:cols w:space="720" w:num="2"/>
          <w:docGrid w:type="lines" w:linePitch="312" w:charSpace="0"/>
        </w:sectPr>
      </w:pPr>
    </w:p>
    <w:p w14:paraId="46331134">
      <w:pPr>
        <w:snapToGrid w:val="0"/>
        <w:spacing w:line="360" w:lineRule="auto"/>
        <w:ind w:left="300" w:hanging="240" w:hangingChars="100"/>
        <w:rPr>
          <w:rFonts w:eastAsia="华文中宋"/>
          <w:b/>
          <w:bCs/>
          <w:color w:val="auto"/>
          <w:kern w:val="44"/>
          <w:sz w:val="24"/>
          <w:szCs w:val="24"/>
          <w:highlight w:val="none"/>
        </w:rPr>
      </w:pPr>
      <w:r>
        <w:rPr>
          <w:rFonts w:eastAsia="华文中宋"/>
          <w:b/>
          <w:bCs/>
          <w:color w:val="auto"/>
          <w:kern w:val="44"/>
          <w:sz w:val="24"/>
          <w:szCs w:val="24"/>
          <w:highlight w:val="none"/>
        </w:rPr>
        <w:t>甲方：</w:t>
      </w:r>
      <w:r>
        <w:rPr>
          <w:rFonts w:hint="eastAsia" w:eastAsia="华文中宋"/>
          <w:b/>
          <w:bCs/>
          <w:color w:val="auto"/>
          <w:kern w:val="44"/>
          <w:sz w:val="24"/>
          <w:szCs w:val="24"/>
          <w:highlight w:val="none"/>
          <w:lang w:val="en-US" w:eastAsia="zh-CN"/>
        </w:rPr>
        <w:t xml:space="preserve">           </w:t>
      </w:r>
      <w:r>
        <w:rPr>
          <w:rFonts w:eastAsia="华文中宋"/>
          <w:b/>
          <w:bCs/>
          <w:color w:val="auto"/>
          <w:kern w:val="44"/>
          <w:sz w:val="24"/>
          <w:szCs w:val="24"/>
          <w:highlight w:val="none"/>
        </w:rPr>
        <w:t>（盖章）</w:t>
      </w:r>
    </w:p>
    <w:p w14:paraId="3441C7E7">
      <w:pPr>
        <w:snapToGrid w:val="0"/>
        <w:spacing w:line="360" w:lineRule="auto"/>
        <w:rPr>
          <w:rFonts w:hint="eastAsia" w:eastAsia="华文中宋"/>
          <w:b/>
          <w:bCs/>
          <w:color w:val="auto"/>
          <w:kern w:val="44"/>
          <w:sz w:val="24"/>
          <w:szCs w:val="24"/>
          <w:highlight w:val="none"/>
          <w:u w:val="single"/>
          <w:lang w:val="en-US" w:eastAsia="zh-CN"/>
        </w:rPr>
      </w:pPr>
      <w:r>
        <w:rPr>
          <w:rFonts w:eastAsia="华文中宋"/>
          <w:b/>
          <w:bCs/>
          <w:color w:val="auto"/>
          <w:kern w:val="44"/>
          <w:sz w:val="24"/>
          <w:szCs w:val="24"/>
          <w:highlight w:val="none"/>
        </w:rPr>
        <w:t>法定代表人：</w:t>
      </w:r>
      <w:r>
        <w:rPr>
          <w:rFonts w:hint="eastAsia" w:eastAsia="华文中宋"/>
          <w:b/>
          <w:bCs/>
          <w:color w:val="auto"/>
          <w:kern w:val="44"/>
          <w:sz w:val="24"/>
          <w:szCs w:val="24"/>
          <w:highlight w:val="none"/>
          <w:lang w:val="en-US" w:eastAsia="zh-CN"/>
        </w:rPr>
        <w:t xml:space="preserve">          </w:t>
      </w:r>
    </w:p>
    <w:p w14:paraId="4446C2E5">
      <w:pPr>
        <w:snapToGrid w:val="0"/>
        <w:spacing w:line="360" w:lineRule="auto"/>
        <w:rPr>
          <w:rFonts w:hint="eastAsia" w:eastAsia="华文中宋"/>
          <w:b/>
          <w:bCs/>
          <w:color w:val="auto"/>
          <w:kern w:val="44"/>
          <w:sz w:val="24"/>
          <w:szCs w:val="24"/>
          <w:highlight w:val="none"/>
          <w:u w:val="none"/>
          <w:lang w:val="en-US" w:eastAsia="zh-CN"/>
        </w:rPr>
      </w:pPr>
      <w:r>
        <w:rPr>
          <w:rFonts w:hint="eastAsia" w:eastAsia="华文中宋"/>
          <w:b/>
          <w:bCs/>
          <w:color w:val="auto"/>
          <w:kern w:val="44"/>
          <w:sz w:val="24"/>
          <w:szCs w:val="24"/>
          <w:highlight w:val="none"/>
          <w:u w:val="none"/>
          <w:lang w:val="en-US" w:eastAsia="zh-CN"/>
        </w:rPr>
        <w:t>委托人：</w:t>
      </w:r>
    </w:p>
    <w:p w14:paraId="0B3B8EDE">
      <w:pPr>
        <w:snapToGrid w:val="0"/>
        <w:spacing w:line="360" w:lineRule="auto"/>
        <w:rPr>
          <w:rFonts w:hint="eastAsia" w:eastAsia="华文中宋"/>
          <w:b/>
          <w:bCs/>
          <w:color w:val="auto"/>
          <w:kern w:val="44"/>
          <w:sz w:val="24"/>
          <w:szCs w:val="24"/>
          <w:highlight w:val="none"/>
          <w:u w:val="single"/>
          <w:lang w:val="en-US" w:eastAsia="zh-CN"/>
        </w:rPr>
      </w:pPr>
      <w:r>
        <w:rPr>
          <w:rFonts w:hint="eastAsia" w:eastAsia="华文中宋"/>
          <w:b/>
          <w:bCs/>
          <w:color w:val="auto"/>
          <w:kern w:val="44"/>
          <w:sz w:val="24"/>
          <w:szCs w:val="24"/>
          <w:highlight w:val="none"/>
          <w:u w:val="none"/>
          <w:lang w:val="en-US" w:eastAsia="zh-CN"/>
        </w:rPr>
        <w:t xml:space="preserve">经办人：        </w:t>
      </w:r>
    </w:p>
    <w:p w14:paraId="5D1B4A37">
      <w:pPr>
        <w:snapToGrid w:val="0"/>
        <w:spacing w:line="360" w:lineRule="auto"/>
        <w:rPr>
          <w:rFonts w:eastAsia="华文中宋"/>
          <w:b/>
          <w:bCs/>
          <w:color w:val="auto"/>
          <w:kern w:val="44"/>
          <w:sz w:val="24"/>
          <w:szCs w:val="24"/>
          <w:highlight w:val="none"/>
          <w:u w:val="single"/>
        </w:rPr>
      </w:pPr>
      <w:r>
        <w:rPr>
          <w:rFonts w:eastAsia="华文中宋"/>
          <w:b/>
          <w:bCs/>
          <w:color w:val="auto"/>
          <w:kern w:val="44"/>
          <w:sz w:val="24"/>
          <w:szCs w:val="24"/>
          <w:highlight w:val="none"/>
        </w:rPr>
        <w:t xml:space="preserve">地址：                         </w:t>
      </w:r>
    </w:p>
    <w:p w14:paraId="3325B7C0">
      <w:pPr>
        <w:snapToGrid w:val="0"/>
        <w:spacing w:line="360" w:lineRule="auto"/>
        <w:rPr>
          <w:rFonts w:eastAsia="华文中宋"/>
          <w:b/>
          <w:bCs/>
          <w:color w:val="auto"/>
          <w:kern w:val="44"/>
          <w:sz w:val="24"/>
          <w:szCs w:val="24"/>
          <w:highlight w:val="none"/>
          <w:u w:val="single"/>
        </w:rPr>
      </w:pPr>
      <w:r>
        <w:rPr>
          <w:rFonts w:eastAsia="华文中宋"/>
          <w:b/>
          <w:bCs/>
          <w:color w:val="auto"/>
          <w:kern w:val="44"/>
          <w:sz w:val="24"/>
          <w:szCs w:val="24"/>
          <w:highlight w:val="none"/>
        </w:rPr>
        <w:t>签订日期：</w:t>
      </w:r>
      <w:r>
        <w:rPr>
          <w:rFonts w:eastAsia="华文中宋"/>
          <w:b/>
          <w:bCs/>
          <w:color w:val="auto"/>
          <w:kern w:val="44"/>
          <w:sz w:val="24"/>
          <w:szCs w:val="24"/>
          <w:highlight w:val="none"/>
          <w:u w:val="single"/>
        </w:rPr>
        <w:t xml:space="preserve">   年  月   日</w:t>
      </w:r>
    </w:p>
    <w:p w14:paraId="31885EA8">
      <w:pPr>
        <w:snapToGrid w:val="0"/>
        <w:spacing w:line="360" w:lineRule="auto"/>
        <w:rPr>
          <w:rFonts w:eastAsia="华文中宋"/>
          <w:b/>
          <w:bCs/>
          <w:color w:val="auto"/>
          <w:kern w:val="44"/>
          <w:sz w:val="24"/>
          <w:szCs w:val="24"/>
          <w:highlight w:val="none"/>
        </w:rPr>
      </w:pPr>
    </w:p>
    <w:p w14:paraId="74930479">
      <w:pPr>
        <w:snapToGrid w:val="0"/>
        <w:spacing w:line="360" w:lineRule="auto"/>
        <w:rPr>
          <w:rFonts w:eastAsia="华文中宋"/>
          <w:b/>
          <w:bCs/>
          <w:color w:val="auto"/>
          <w:kern w:val="44"/>
          <w:sz w:val="24"/>
          <w:szCs w:val="24"/>
          <w:highlight w:val="none"/>
        </w:rPr>
      </w:pPr>
    </w:p>
    <w:p w14:paraId="4DB91E1F">
      <w:pPr>
        <w:snapToGrid w:val="0"/>
        <w:spacing w:line="360" w:lineRule="auto"/>
        <w:rPr>
          <w:rFonts w:eastAsia="华文中宋"/>
          <w:b/>
          <w:bCs/>
          <w:color w:val="auto"/>
          <w:kern w:val="44"/>
          <w:sz w:val="24"/>
          <w:szCs w:val="24"/>
          <w:highlight w:val="none"/>
        </w:rPr>
      </w:pPr>
    </w:p>
    <w:p w14:paraId="347C4A96">
      <w:pPr>
        <w:snapToGrid w:val="0"/>
        <w:spacing w:line="360" w:lineRule="auto"/>
        <w:rPr>
          <w:rFonts w:eastAsia="华文中宋"/>
          <w:b/>
          <w:bCs/>
          <w:color w:val="auto"/>
          <w:kern w:val="44"/>
          <w:sz w:val="24"/>
          <w:szCs w:val="24"/>
          <w:highlight w:val="none"/>
        </w:rPr>
      </w:pPr>
      <w:r>
        <w:rPr>
          <w:rFonts w:eastAsia="华文中宋"/>
          <w:b/>
          <w:bCs/>
          <w:color w:val="auto"/>
          <w:kern w:val="44"/>
          <w:sz w:val="24"/>
          <w:szCs w:val="24"/>
          <w:highlight w:val="none"/>
        </w:rPr>
        <w:t xml:space="preserve">乙方： </w:t>
      </w:r>
      <w:r>
        <w:rPr>
          <w:rFonts w:hint="eastAsia" w:eastAsia="华文中宋"/>
          <w:b/>
          <w:bCs/>
          <w:color w:val="auto"/>
          <w:kern w:val="44"/>
          <w:sz w:val="24"/>
          <w:szCs w:val="24"/>
          <w:highlight w:val="none"/>
          <w:lang w:val="en-US" w:eastAsia="zh-CN"/>
        </w:rPr>
        <w:t xml:space="preserve">            </w:t>
      </w:r>
      <w:r>
        <w:rPr>
          <w:rFonts w:eastAsia="华文中宋"/>
          <w:b/>
          <w:bCs/>
          <w:color w:val="auto"/>
          <w:kern w:val="44"/>
          <w:sz w:val="24"/>
          <w:szCs w:val="24"/>
          <w:highlight w:val="none"/>
        </w:rPr>
        <w:t>（盖章）</w:t>
      </w:r>
      <w:r>
        <w:rPr>
          <w:rFonts w:hint="eastAsia" w:eastAsia="华文中宋"/>
          <w:b/>
          <w:bCs/>
          <w:color w:val="auto"/>
          <w:kern w:val="44"/>
          <w:sz w:val="24"/>
          <w:szCs w:val="24"/>
          <w:highlight w:val="none"/>
          <w:lang w:val="en-US" w:eastAsia="zh-CN"/>
        </w:rPr>
        <w:t xml:space="preserve">         </w:t>
      </w:r>
      <w:r>
        <w:rPr>
          <w:rFonts w:eastAsia="华文中宋"/>
          <w:b/>
          <w:bCs/>
          <w:color w:val="auto"/>
          <w:kern w:val="44"/>
          <w:sz w:val="24"/>
          <w:szCs w:val="24"/>
          <w:highlight w:val="none"/>
        </w:rPr>
        <w:t xml:space="preserve">                                             </w:t>
      </w:r>
    </w:p>
    <w:p w14:paraId="2A4A5F82">
      <w:pPr>
        <w:snapToGrid w:val="0"/>
        <w:spacing w:line="360" w:lineRule="auto"/>
        <w:rPr>
          <w:rFonts w:hint="eastAsia" w:eastAsia="华文中宋"/>
          <w:b/>
          <w:bCs/>
          <w:color w:val="auto"/>
          <w:kern w:val="44"/>
          <w:sz w:val="24"/>
          <w:szCs w:val="24"/>
          <w:highlight w:val="none"/>
          <w:u w:val="single"/>
          <w:lang w:val="en-US" w:eastAsia="zh-CN"/>
        </w:rPr>
      </w:pPr>
      <w:r>
        <w:rPr>
          <w:rFonts w:eastAsia="华文中宋"/>
          <w:b/>
          <w:bCs/>
          <w:color w:val="auto"/>
          <w:kern w:val="44"/>
          <w:sz w:val="24"/>
          <w:szCs w:val="24"/>
          <w:highlight w:val="none"/>
        </w:rPr>
        <w:t>法定代表人：</w:t>
      </w:r>
      <w:r>
        <w:rPr>
          <w:rFonts w:hint="eastAsia" w:eastAsia="华文中宋"/>
          <w:b/>
          <w:bCs/>
          <w:color w:val="auto"/>
          <w:kern w:val="44"/>
          <w:sz w:val="24"/>
          <w:szCs w:val="24"/>
          <w:highlight w:val="none"/>
          <w:lang w:val="en-US" w:eastAsia="zh-CN"/>
        </w:rPr>
        <w:t xml:space="preserve">           </w:t>
      </w:r>
    </w:p>
    <w:p w14:paraId="58AA2098">
      <w:pPr>
        <w:snapToGrid w:val="0"/>
        <w:spacing w:line="360" w:lineRule="auto"/>
        <w:rPr>
          <w:rFonts w:hint="eastAsia" w:eastAsia="华文中宋"/>
          <w:b/>
          <w:bCs/>
          <w:color w:val="auto"/>
          <w:kern w:val="44"/>
          <w:sz w:val="24"/>
          <w:szCs w:val="24"/>
          <w:highlight w:val="none"/>
          <w:lang w:val="en-US" w:eastAsia="zh-CN"/>
        </w:rPr>
      </w:pPr>
      <w:r>
        <w:rPr>
          <w:rFonts w:hint="eastAsia" w:eastAsia="华文中宋"/>
          <w:b/>
          <w:bCs/>
          <w:color w:val="auto"/>
          <w:kern w:val="44"/>
          <w:sz w:val="24"/>
          <w:szCs w:val="24"/>
          <w:highlight w:val="none"/>
          <w:lang w:val="en-US" w:eastAsia="zh-CN"/>
        </w:rPr>
        <w:t xml:space="preserve">委托人：              </w:t>
      </w:r>
    </w:p>
    <w:p w14:paraId="382C99AC">
      <w:pPr>
        <w:snapToGrid w:val="0"/>
        <w:spacing w:line="360" w:lineRule="auto"/>
        <w:rPr>
          <w:rFonts w:hint="eastAsia" w:eastAsia="华文中宋"/>
          <w:b/>
          <w:bCs/>
          <w:color w:val="auto"/>
          <w:kern w:val="44"/>
          <w:sz w:val="24"/>
          <w:szCs w:val="24"/>
          <w:highlight w:val="none"/>
          <w:lang w:val="en-US" w:eastAsia="zh-CN"/>
        </w:rPr>
      </w:pPr>
      <w:r>
        <w:rPr>
          <w:rFonts w:hint="eastAsia" w:eastAsia="华文中宋"/>
          <w:b/>
          <w:bCs/>
          <w:color w:val="auto"/>
          <w:kern w:val="44"/>
          <w:sz w:val="24"/>
          <w:szCs w:val="24"/>
          <w:highlight w:val="none"/>
          <w:lang w:val="en-US" w:eastAsia="zh-CN"/>
        </w:rPr>
        <w:t>经办人：</w:t>
      </w:r>
    </w:p>
    <w:p w14:paraId="57DC0B46">
      <w:pPr>
        <w:snapToGrid w:val="0"/>
        <w:spacing w:line="360" w:lineRule="auto"/>
        <w:rPr>
          <w:rFonts w:eastAsia="华文中宋"/>
          <w:b/>
          <w:bCs/>
          <w:color w:val="auto"/>
          <w:kern w:val="44"/>
          <w:sz w:val="24"/>
          <w:szCs w:val="24"/>
          <w:highlight w:val="none"/>
        </w:rPr>
      </w:pPr>
      <w:r>
        <w:rPr>
          <w:rFonts w:eastAsia="华文中宋"/>
          <w:b/>
          <w:bCs/>
          <w:color w:val="auto"/>
          <w:kern w:val="44"/>
          <w:sz w:val="24"/>
          <w:szCs w:val="24"/>
          <w:highlight w:val="none"/>
        </w:rPr>
        <w:t xml:space="preserve">地址：                         </w:t>
      </w:r>
    </w:p>
    <w:p w14:paraId="5D6A41A2">
      <w:pPr>
        <w:snapToGrid w:val="0"/>
        <w:spacing w:line="360" w:lineRule="auto"/>
        <w:rPr>
          <w:rFonts w:eastAsia="华文中宋"/>
          <w:b/>
          <w:bCs/>
          <w:color w:val="auto"/>
          <w:kern w:val="44"/>
          <w:sz w:val="24"/>
          <w:szCs w:val="24"/>
          <w:highlight w:val="none"/>
        </w:rPr>
      </w:pPr>
      <w:r>
        <w:rPr>
          <w:rFonts w:eastAsia="华文中宋"/>
          <w:b/>
          <w:bCs/>
          <w:color w:val="auto"/>
          <w:kern w:val="44"/>
          <w:sz w:val="24"/>
          <w:szCs w:val="24"/>
          <w:highlight w:val="none"/>
        </w:rPr>
        <w:t>签订日期：</w:t>
      </w:r>
      <w:r>
        <w:rPr>
          <w:rFonts w:eastAsia="华文中宋"/>
          <w:b/>
          <w:bCs/>
          <w:color w:val="auto"/>
          <w:kern w:val="44"/>
          <w:sz w:val="24"/>
          <w:szCs w:val="24"/>
          <w:highlight w:val="none"/>
          <w:u w:val="single"/>
        </w:rPr>
        <w:t xml:space="preserve">    年  月   日</w:t>
      </w:r>
    </w:p>
    <w:p w14:paraId="712D2739">
      <w:pPr>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3CC5F">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E1A765">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FE1A765">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C7C55">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8C97CE">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98C97CE">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E04DB5"/>
    <w:multiLevelType w:val="multilevel"/>
    <w:tmpl w:val="FAE04DB5"/>
    <w:lvl w:ilvl="0" w:tentative="0">
      <w:start w:val="1"/>
      <w:numFmt w:val="bullet"/>
      <w:pStyle w:val="19"/>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B4371C"/>
    <w:rsid w:val="1F391F0F"/>
    <w:rsid w:val="24F60C4C"/>
    <w:rsid w:val="29791B0B"/>
    <w:rsid w:val="67716EF7"/>
    <w:rsid w:val="68173A00"/>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80" w:lineRule="atLeast"/>
    </w:pPr>
    <w:rPr>
      <w:rFonts w:ascii="仿宋" w:hAnsi="仿宋" w:eastAsia="仿宋" w:cs="仿宋"/>
      <w:kern w:val="2"/>
      <w:sz w:val="28"/>
      <w:szCs w:val="24"/>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5">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paragraph" w:styleId="6">
    <w:name w:val="heading 8"/>
    <w:basedOn w:val="1"/>
    <w:next w:val="1"/>
    <w:semiHidden/>
    <w:unhideWhenUsed/>
    <w:qFormat/>
    <w:uiPriority w:val="0"/>
    <w:pPr>
      <w:keepNext/>
      <w:keepLines/>
      <w:spacing w:before="240" w:beforeLines="0" w:beforeAutospacing="0" w:after="64" w:afterLines="0" w:afterAutospacing="0" w:line="317" w:lineRule="auto"/>
      <w:outlineLvl w:val="7"/>
    </w:pPr>
    <w:rPr>
      <w:rFonts w:ascii="Arial" w:hAnsi="Arial" w:eastAsia="黑体"/>
      <w:sz w:val="2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8">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9">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10">
    <w:name w:val="Plain Text"/>
    <w:basedOn w:val="1"/>
    <w:autoRedefine/>
    <w:qFormat/>
    <w:uiPriority w:val="99"/>
    <w:rPr>
      <w:rFonts w:ascii="宋体" w:hAnsi="Courier New"/>
      <w:szCs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Body Text First Indent"/>
    <w:basedOn w:val="8"/>
    <w:qFormat/>
    <w:uiPriority w:val="0"/>
    <w:pPr>
      <w:spacing w:line="240" w:lineRule="auto"/>
      <w:ind w:firstLine="420" w:firstLineChars="100"/>
    </w:pPr>
    <w:rPr>
      <w:color w:val="auto"/>
      <w:sz w:val="18"/>
      <w:szCs w:val="18"/>
    </w:rPr>
  </w:style>
  <w:style w:type="paragraph" w:customStyle="1" w:styleId="15">
    <w:name w:val="标题1"/>
    <w:basedOn w:val="1"/>
    <w:qFormat/>
    <w:uiPriority w:val="0"/>
    <w:pPr>
      <w:jc w:val="center"/>
    </w:pPr>
    <w:rPr>
      <w:b/>
      <w:sz w:val="52"/>
      <w:szCs w:val="24"/>
    </w:rPr>
  </w:style>
  <w:style w:type="paragraph" w:customStyle="1" w:styleId="16">
    <w:name w:val="普通文字"/>
    <w:basedOn w:val="1"/>
    <w:qFormat/>
    <w:uiPriority w:val="0"/>
    <w:pPr>
      <w:adjustRightInd w:val="0"/>
      <w:snapToGrid w:val="0"/>
      <w:spacing w:line="540" w:lineRule="exact"/>
      <w:ind w:firstLine="200" w:firstLineChars="200"/>
    </w:pPr>
    <w:rPr>
      <w:szCs w:val="28"/>
    </w:rPr>
  </w:style>
  <w:style w:type="paragraph" w:customStyle="1" w:styleId="17">
    <w:name w:val="_Style 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8">
    <w:name w:val="表格文字"/>
    <w:basedOn w:val="19"/>
    <w:qFormat/>
    <w:uiPriority w:val="0"/>
    <w:pPr>
      <w:tabs>
        <w:tab w:val="left" w:pos="420"/>
        <w:tab w:val="left" w:pos="851"/>
      </w:tabs>
      <w:spacing w:line="240" w:lineRule="auto"/>
      <w:ind w:firstLine="0" w:firstLineChars="0"/>
      <w:jc w:val="center"/>
    </w:pPr>
    <w:rPr>
      <w:rFonts w:ascii="Times New Roman" w:hAnsi="Times New Roman" w:eastAsia="宋体" w:cs="Times New Roman"/>
      <w:sz w:val="24"/>
    </w:rPr>
  </w:style>
  <w:style w:type="paragraph" w:customStyle="1" w:styleId="19">
    <w:name w:val="表格"/>
    <w:basedOn w:val="6"/>
    <w:next w:val="1"/>
    <w:qFormat/>
    <w:uiPriority w:val="0"/>
    <w:pPr>
      <w:keepNext w:val="0"/>
      <w:keepLines w:val="0"/>
      <w:numPr>
        <w:ilvl w:val="0"/>
        <w:numId w:val="1"/>
      </w:numPr>
      <w:tabs>
        <w:tab w:val="left" w:pos="851"/>
        <w:tab w:val="clear" w:pos="420"/>
      </w:tabs>
      <w:spacing w:before="0" w:after="0" w:line="360" w:lineRule="auto"/>
      <w:ind w:left="0" w:firstLine="0" w:firstLineChars="0"/>
      <w:jc w:val="left"/>
    </w:pPr>
    <w:rPr>
      <w:rFonts w:ascii="宋体" w:hAnsi="宋体" w:eastAsia="宋体"/>
      <w:kern w:val="0"/>
      <w:szCs w:val="28"/>
    </w:rPr>
  </w:style>
  <w:style w:type="paragraph" w:customStyle="1" w:styleId="20">
    <w:name w:val="p0"/>
    <w:basedOn w:val="1"/>
    <w:qFormat/>
    <w:uiPriority w:val="0"/>
    <w:pPr>
      <w:widowControl/>
      <w:spacing w:after="200" w:line="288" w:lineRule="auto"/>
      <w:jc w:val="left"/>
    </w:pPr>
    <w:rPr>
      <w:rFonts w:hint="eastAsia" w:ascii="Calibri" w:hAnsi="Calibri"/>
      <w:i/>
      <w:iCs/>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4804</Words>
  <Characters>5185</Characters>
  <Lines>0</Lines>
  <Paragraphs>0</Paragraphs>
  <TotalTime>0</TotalTime>
  <ScaleCrop>false</ScaleCrop>
  <LinksUpToDate>false</LinksUpToDate>
  <CharactersWithSpaces>5324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2025-07-25T07:35:29Z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