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版本号：SCZB2025-CS-0140-820250711001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博文楼修缮项目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SCZB2025-CS-0140-8</w:t>
      </w:r>
      <w:r>
        <w:br/>
      </w:r>
      <w:r>
        <w:br/>
      </w:r>
      <w:r>
        <w:br/>
      </w:r>
    </w:p>
    <w:p>
      <w:pPr>
        <w:pStyle w:val="null3"/>
        <w:jc w:val="center"/>
        <w:outlineLvl w:val="2"/>
      </w:pPr>
      <w:r>
        <w:rPr>
          <w:rFonts w:ascii="仿宋_GB2312" w:hAnsi="仿宋_GB2312" w:cs="仿宋_GB2312" w:eastAsia="仿宋_GB2312"/>
          <w:sz w:val="28"/>
          <w:b/>
        </w:rPr>
        <w:t>陕西理工大学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陕西理工大学</w:t>
      </w:r>
      <w:r>
        <w:rPr>
          <w:rFonts w:ascii="仿宋_GB2312" w:hAnsi="仿宋_GB2312" w:cs="仿宋_GB2312" w:eastAsia="仿宋_GB2312"/>
        </w:rPr>
        <w:t>委托，拟对</w:t>
      </w:r>
      <w:r>
        <w:rPr>
          <w:rFonts w:ascii="仿宋_GB2312" w:hAnsi="仿宋_GB2312" w:cs="仿宋_GB2312" w:eastAsia="仿宋_GB2312"/>
        </w:rPr>
        <w:t>博文楼修缮项目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SCZB2025-CS-0140-8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博文楼修缮项目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建设地点位于陕西省汉中市汉台区陕西理工大学（南校区）。主要施工内容为：1.对博文楼进行室内修缮、装修。2.消防工程。3.电气安装工程。具体技术标准和要求详见本项目磋商文件、工程量清单和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采购包1（博文楼修缮项目）：属于专门面向中小企业采购。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p>
      <w:pPr>
        <w:pStyle w:val="null3"/>
      </w:pPr>
      <w:r>
        <w:rPr>
          <w:rFonts w:ascii="仿宋_GB2312" w:hAnsi="仿宋_GB2312" w:cs="仿宋_GB2312" w:eastAsia="仿宋_GB2312"/>
        </w:rPr>
        <w:t>2、授权委托书：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p>
      <w:pPr>
        <w:pStyle w:val="null3"/>
      </w:pPr>
      <w:r>
        <w:rPr>
          <w:rFonts w:ascii="仿宋_GB2312" w:hAnsi="仿宋_GB2312" w:cs="仿宋_GB2312" w:eastAsia="仿宋_GB2312"/>
        </w:rPr>
        <w:t>3、企业资质：供应商具有建设行政主管部门颁发的建筑工程施工总承包三级及以上资质或建筑装修装饰工程专业承包二级及以上资质，同时具有有效的安全生产许可证。</w:t>
      </w:r>
    </w:p>
    <w:p>
      <w:pPr>
        <w:pStyle w:val="null3"/>
      </w:pPr>
      <w:r>
        <w:rPr>
          <w:rFonts w:ascii="仿宋_GB2312" w:hAnsi="仿宋_GB2312" w:cs="仿宋_GB2312" w:eastAsia="仿宋_GB2312"/>
        </w:rPr>
        <w:t>4、拟派项目负责人资质和专业要求：供应商拟派项目经理具备建筑工程专业二级及以上注册建造师执业资格及有效的安全生产考核合格证书（B证）且在本单位注册，同时提供无在建工程承诺书。</w:t>
      </w:r>
    </w:p>
    <w:p>
      <w:pPr>
        <w:pStyle w:val="null3"/>
      </w:pPr>
      <w:r>
        <w:rPr>
          <w:rFonts w:ascii="仿宋_GB2312" w:hAnsi="仿宋_GB2312" w:cs="仿宋_GB2312" w:eastAsia="仿宋_GB2312"/>
        </w:rPr>
        <w:t>5、非联合体：参与供应商为非联合体（提供声明函）。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0916-2641657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王嘉辉、张学强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采购包1：1,291,585.69元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w:t>
            </w:r>
          </w:p>
          <w:p>
            <w:pPr>
              <w:pStyle w:val="null3"/>
            </w:pPr>
            <w:r>
              <w:rPr>
                <w:rFonts w:ascii="仿宋_GB2312" w:hAnsi="仿宋_GB2312" w:cs="仿宋_GB2312" w:eastAsia="仿宋_GB2312"/>
              </w:rPr>
              <w:t>银行账号：103660080654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说明：成交供应商在与采购人签订合同前，须缴纳履约保证金；履约保证金金额为成交金额的3% 。待验收合格后凭验收单和缴款收据，履约保证金一次性无息退还。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代理服务费收费标准：代理服务费收费标准：按《招标代理服务收费暂行办法》(计价格[2002]1980号)的70%计收</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陕西理工大学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具体详见磋商文件合同附件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1,291,585.69</w:t>
      </w:r>
    </w:p>
    <w:p>
      <w:pPr>
        <w:pStyle w:val="null3"/>
      </w:pPr>
      <w:r>
        <w:rPr>
          <w:rFonts w:ascii="仿宋_GB2312" w:hAnsi="仿宋_GB2312" w:cs="仿宋_GB2312" w:eastAsia="仿宋_GB2312"/>
        </w:rPr>
        <w:t>采购包最高限价（元）: 1,291,585.69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博文楼修缮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1,291,585.69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标的名称：博文楼修缮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一、工程概况：</w:t>
            </w:r>
          </w:p>
          <w:p>
            <w:pPr>
              <w:pStyle w:val="null3"/>
              <w:jc w:val="both"/>
            </w:pPr>
            <w:r>
              <w:rPr>
                <w:rFonts w:ascii="仿宋_GB2312" w:hAnsi="仿宋_GB2312" w:cs="仿宋_GB2312" w:eastAsia="仿宋_GB2312"/>
              </w:rPr>
              <w:t>该项目建设地点位于陕西省汉中市汉台区陕西理工大学（南校区）。主要施工内容为：1.对博文楼进行室内修缮、装修。2.消防工程。3.电气安装工程。具体技术标准和要求详见本项目磋商文件、工程量清单和施工图纸。</w:t>
            </w:r>
          </w:p>
          <w:p>
            <w:pPr>
              <w:pStyle w:val="null3"/>
              <w:jc w:val="both"/>
            </w:pPr>
            <w:r>
              <w:rPr>
                <w:rFonts w:ascii="仿宋_GB2312" w:hAnsi="仿宋_GB2312" w:cs="仿宋_GB2312" w:eastAsia="仿宋_GB2312"/>
              </w:rPr>
              <w:t>二、工期：40日历天。</w:t>
            </w:r>
          </w:p>
          <w:p>
            <w:pPr>
              <w:pStyle w:val="null3"/>
              <w:jc w:val="both"/>
            </w:pPr>
            <w:r>
              <w:rPr>
                <w:rFonts w:ascii="仿宋_GB2312" w:hAnsi="仿宋_GB2312" w:cs="仿宋_GB2312" w:eastAsia="仿宋_GB2312"/>
              </w:rPr>
              <w:t>三、工程质量：合格。</w:t>
            </w:r>
          </w:p>
          <w:p>
            <w:pPr>
              <w:pStyle w:val="null3"/>
              <w:jc w:val="both"/>
            </w:pPr>
            <w:r>
              <w:rPr>
                <w:rFonts w:ascii="仿宋_GB2312" w:hAnsi="仿宋_GB2312" w:cs="仿宋_GB2312" w:eastAsia="仿宋_GB2312"/>
              </w:rPr>
              <w:t>四、验收标准：按照国家工程质量标准验收</w:t>
            </w:r>
          </w:p>
          <w:p>
            <w:pPr>
              <w:pStyle w:val="null3"/>
              <w:jc w:val="both"/>
            </w:pPr>
            <w:r>
              <w:rPr>
                <w:rFonts w:ascii="仿宋_GB2312" w:hAnsi="仿宋_GB2312" w:cs="仿宋_GB2312" w:eastAsia="仿宋_GB2312"/>
              </w:rPr>
              <w:t>五、资金支付方式：工程进度至合同约定的总工程量的 70%时，发包人向承包人支付合同约定的总款的 50%;竣工验收合格后，发包人再向承包人支付合同约定的总款的30%；</w:t>
            </w:r>
          </w:p>
          <w:p>
            <w:pPr>
              <w:pStyle w:val="null3"/>
              <w:jc w:val="both"/>
            </w:pPr>
            <w:r>
              <w:rPr>
                <w:rFonts w:ascii="仿宋_GB2312" w:hAnsi="仿宋_GB2312" w:cs="仿宋_GB2312" w:eastAsia="仿宋_GB2312"/>
              </w:rPr>
              <w:t>发包人或经发包人委托的第三方,对承包人提交的工程结算进行审核后,发包人依据工程结算审核结果金额，向承包人支付总工程款17%，承包人持《终验合格单》原件和全额发票在发包人处办理此项工程款;剩余总工程款的3%作为质量保证金。</w:t>
            </w:r>
          </w:p>
          <w:p>
            <w:pPr>
              <w:pStyle w:val="null3"/>
              <w:jc w:val="both"/>
            </w:pPr>
            <w:r>
              <w:rPr>
                <w:rFonts w:ascii="仿宋_GB2312" w:hAnsi="仿宋_GB2312" w:cs="仿宋_GB2312" w:eastAsia="仿宋_GB2312"/>
              </w:rPr>
              <w:t>六、该项目含暂列金50000元。</w:t>
            </w:r>
          </w:p>
          <w:p>
            <w:pPr>
              <w:pStyle w:val="null3"/>
              <w:jc w:val="both"/>
            </w:pPr>
            <w:r>
              <w:rPr>
                <w:rFonts w:ascii="仿宋_GB2312" w:hAnsi="仿宋_GB2312" w:cs="仿宋_GB2312" w:eastAsia="仿宋_GB2312"/>
              </w:rPr>
              <w:t>七、售后质保及响应时效</w:t>
            </w:r>
          </w:p>
          <w:p>
            <w:pPr>
              <w:pStyle w:val="null3"/>
              <w:jc w:val="both"/>
            </w:pPr>
            <w:r>
              <w:rPr>
                <w:rFonts w:ascii="仿宋_GB2312" w:hAnsi="仿宋_GB2312" w:cs="仿宋_GB2312" w:eastAsia="仿宋_GB2312"/>
              </w:rPr>
              <w:t>①质保期：验收合格后</w:t>
            </w:r>
            <w:r>
              <w:rPr>
                <w:rFonts w:ascii="仿宋_GB2312" w:hAnsi="仿宋_GB2312" w:cs="仿宋_GB2312" w:eastAsia="仿宋_GB2312"/>
                <w:u w:val="single"/>
              </w:rPr>
              <w:t>24</w:t>
            </w:r>
            <w:r>
              <w:rPr>
                <w:rFonts w:ascii="仿宋_GB2312" w:hAnsi="仿宋_GB2312" w:cs="仿宋_GB2312" w:eastAsia="仿宋_GB2312"/>
              </w:rPr>
              <w:t>个月。</w:t>
            </w:r>
          </w:p>
          <w:p>
            <w:pPr>
              <w:pStyle w:val="null3"/>
              <w:jc w:val="both"/>
            </w:pPr>
            <w:r>
              <w:rPr>
                <w:rFonts w:ascii="仿宋_GB2312" w:hAnsi="仿宋_GB2312" w:cs="仿宋_GB2312" w:eastAsia="仿宋_GB2312"/>
              </w:rPr>
              <w:t>②响应时效：即时响应(包括电话响应)；电话响应无法解决 24小时内到达现场。修复时间</w:t>
            </w:r>
            <w:r>
              <w:rPr>
                <w:rFonts w:ascii="仿宋_GB2312" w:hAnsi="仿宋_GB2312" w:cs="仿宋_GB2312" w:eastAsia="仿宋_GB2312"/>
                <w:u w:val="single"/>
              </w:rPr>
              <w:t xml:space="preserve"> 48 </w:t>
            </w:r>
            <w:r>
              <w:rPr>
                <w:rFonts w:ascii="仿宋_GB2312" w:hAnsi="仿宋_GB2312" w:cs="仿宋_GB2312" w:eastAsia="仿宋_GB2312"/>
              </w:rPr>
              <w:t>小时内解决;如</w:t>
            </w:r>
            <w:r>
              <w:rPr>
                <w:rFonts w:ascii="仿宋_GB2312" w:hAnsi="仿宋_GB2312" w:cs="仿宋_GB2312" w:eastAsia="仿宋_GB2312"/>
                <w:u w:val="single"/>
              </w:rPr>
              <w:t xml:space="preserve"> 48 </w:t>
            </w:r>
            <w:r>
              <w:rPr>
                <w:rFonts w:ascii="仿宋_GB2312" w:hAnsi="仿宋_GB2312" w:cs="仿宋_GB2312" w:eastAsia="仿宋_GB2312"/>
              </w:rPr>
              <w:t>小时内无法修复，应提供相应解决方案。</w:t>
            </w:r>
          </w:p>
          <w:p>
            <w:pPr>
              <w:pStyle w:val="null3"/>
              <w:jc w:val="both"/>
            </w:pPr>
            <w:r>
              <w:rPr>
                <w:rFonts w:ascii="仿宋_GB2312" w:hAnsi="仿宋_GB2312" w:cs="仿宋_GB2312" w:eastAsia="仿宋_GB2312"/>
              </w:rPr>
              <w:t>八、本项目缴纳质量保证金，具体以合同内容为准。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2023或2024年度经审计的财务报告（包含审计报告和审计报告中所涉及的财务报表和报表附注），②可提供2023或2024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供应商具有建设行政主管部门颁发的建筑工程施工总承包三级及以上资质或建筑装修装饰工程专业承包二级及以上资质，同时具有有效的安全生产许可证。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供应商拟派项目经理具备建筑工程专业二级及以上注册建造师执业资格及有效的安全生产考核合格证书（B证）且在本单位注册，同时提供无在建工程承诺书。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按磋商文件要求加盖了供应商公章和有法定代表人或其授权代表签字或加盖人名章。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响应方案说明.docx 已标价工程量清单 磋商保证金.docx 主材表.docx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未超出采购预算和最高限价</w:t>
            </w:r>
          </w:p>
        </w:tc>
        <w:tc>
          <w:tcPr>
            <w:tcW w:type="dxa" w:w="1661"/>
          </w:tcPr>
          <w:p>
            <w:pPr>
              <w:pStyle w:val="null3"/>
            </w:pPr>
            <w:r>
              <w:rPr>
                <w:rFonts w:ascii="仿宋_GB2312" w:hAnsi="仿宋_GB2312" w:cs="仿宋_GB2312" w:eastAsia="仿宋_GB2312"/>
              </w:rPr>
              <w:t>已标价工程量清单 主材表.docx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磋商保证金已按磋商文件规定提交且金额、形式符合采购文件要求</w:t>
            </w:r>
          </w:p>
        </w:tc>
        <w:tc>
          <w:tcPr>
            <w:tcW w:type="dxa" w:w="1661"/>
          </w:tcPr>
          <w:p>
            <w:pPr>
              <w:pStyle w:val="null3"/>
            </w:pPr>
            <w:r>
              <w:rPr>
                <w:rFonts w:ascii="仿宋_GB2312" w:hAnsi="仿宋_GB2312" w:cs="仿宋_GB2312" w:eastAsia="仿宋_GB2312"/>
              </w:rPr>
              <w:t>磋商保证金.docx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响应方案说明.docx 已标价工程量清单 磋商保证金.docx 主材表.docx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供应商提供的文件无实质性遗漏</w:t>
            </w:r>
          </w:p>
        </w:tc>
        <w:tc>
          <w:tcPr>
            <w:tcW w:type="dxa" w:w="1661"/>
          </w:tcPr>
          <w:p>
            <w:pPr>
              <w:pStyle w:val="null3"/>
            </w:pPr>
            <w:r>
              <w:rPr>
                <w:rFonts w:ascii="仿宋_GB2312" w:hAnsi="仿宋_GB2312" w:cs="仿宋_GB2312" w:eastAsia="仿宋_GB2312"/>
              </w:rPr>
              <w:t>响应方案说明.docx 已标价工程量清单 磋商保证金.docx 主材表.docx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符合“磋商项目技术、服务、商务及其他要求”要求，无重大偏差</w:t>
            </w:r>
          </w:p>
        </w:tc>
        <w:tc>
          <w:tcPr>
            <w:tcW w:type="dxa" w:w="1661"/>
          </w:tcPr>
          <w:p>
            <w:pPr>
              <w:pStyle w:val="null3"/>
            </w:pPr>
            <w:r>
              <w:rPr>
                <w:rFonts w:ascii="仿宋_GB2312" w:hAnsi="仿宋_GB2312" w:cs="仿宋_GB2312" w:eastAsia="仿宋_GB2312"/>
              </w:rPr>
              <w:t>响应方案说明.docx 已标价工程量清单 磋商保证金.docx 主材表.docx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响应方案说明.docx 已标价工程量清单 磋商保证金.docx 主材表.docx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响应方案说明.docx 已标价工程量清单 磋商保证金.docx 主材表.docx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响应方案说明.docx 已标价工程量清单 磋商保证金.docx 主材表.docx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①施工方案全面、合理，施工方法先进，可行性强，完全满足工程施工要求的得8分； ②施工方案全面、合理，施工方法较先进，有一定的可行性，能满足工程施工要求的得5分； ③施工方案存在部分不完整，施工方法针对本项目基本可行的得2分；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主材表.docx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①有清晰合理的工期计划措施，实施进度安排合理，可行性强，具有详细明确的实施进度计划表，能够确保工程如期保质完成的得5分； ②进度安排合理，有一定的可行性，实施进度计划基本明确的能够基本保证项目如期完成的得3分； ③进度安排合理性、可行性均较差的得1分；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主材表.docx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①措施完整全面，能够从多方面保证安全生产，且合理性、可行性强的得8分； ②措施基本完整全面，能从多个方面确保安全生产，基本合理、可行的得5分； ③措施不完整、全面，但有一定的可行性的得2分；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主材表.docx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确保文明施工及环境保护措施</w:t>
            </w:r>
          </w:p>
        </w:tc>
        <w:tc>
          <w:tcPr>
            <w:tcW w:type="dxa" w:w="2492"/>
          </w:tcPr>
          <w:p>
            <w:pPr>
              <w:pStyle w:val="null3"/>
            </w:pPr>
            <w:r>
              <w:rPr>
                <w:rFonts w:ascii="仿宋_GB2312" w:hAnsi="仿宋_GB2312" w:cs="仿宋_GB2312" w:eastAsia="仿宋_GB2312"/>
              </w:rPr>
              <w:t>①措施全面、完整，能从多方面确保文明施工、考虑影响环境得因素，并提出相关解决和防治措施，实施度高、可落地性强，可确保达到环境保护的要求得5分； ②措施基本全面、完整，基本有一定的可行性，能基本满足文明施工、环境保护要求的得3分； ③措施存在较大不合理性、内容简单的得1分；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主材表.docx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措施，实施进度安排合理，可行性强，具有详细明确的实施进度计划表，能够确保工程如期保质完成的得5分； ②进度安排合理，有一定的可行性，实施进度计划基本明确的能够基本保证项目如期完成的得3分； ③进度安排合理性、可行性均较差的得1分；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主材表.docx</w:t>
            </w:r>
          </w:p>
        </w:tc>
      </w:tr>
      <w:tr>
        <w:tc>
          <w:tcPr>
            <w:tcW w:type="dxa" w:w="831"/>
            <w:vMerge/>
          </w:tcPr>
          <w:p/>
        </w:tc>
        <w:tc>
          <w:tcPr>
            <w:tcW w:type="dxa" w:w="1661"/>
          </w:tcPr>
          <w:p>
            <w:pPr>
              <w:pStyle w:val="null3"/>
            </w:pPr>
            <w:r>
              <w:rPr>
                <w:rFonts w:ascii="仿宋_GB2312" w:hAnsi="仿宋_GB2312" w:cs="仿宋_GB2312" w:eastAsia="仿宋_GB2312"/>
              </w:rPr>
              <w:t>施工机械设备和劳动力安排计划</w:t>
            </w:r>
          </w:p>
        </w:tc>
        <w:tc>
          <w:tcPr>
            <w:tcW w:type="dxa" w:w="2492"/>
          </w:tcPr>
          <w:p>
            <w:pPr>
              <w:pStyle w:val="null3"/>
            </w:pPr>
            <w:r>
              <w:rPr>
                <w:rFonts w:ascii="仿宋_GB2312" w:hAnsi="仿宋_GB2312" w:cs="仿宋_GB2312" w:eastAsia="仿宋_GB2312"/>
              </w:rPr>
              <w:t>①机械配备投入合且数量充足、投入计划紧贴项目进度，劳动力安排合理，可操作性强，能够确保项目如期保质完成的得5分； ②机械配备投入计划基本合理，基本与项目进度匹配，劳动力数量基本合理，计划表基本清晰、可行，能保证项目建设进度的得3分； ③机械配备投入数量存在部分不合理，与项目建设进度匹配度较差，劳动力数量存在部分不合理，计划表不清晰、可行性较差的得1分；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主材表.docx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①进度安排合理、可行、科学、符合项目实施需求，施工进度表或网络图表达清晰、合理的得5分； ②进度安排较合理、较可行、较符合项目实施需求，施工进度表或网络图表达较不明确、较不清晰的得3分； ③进度安排合理和可行较差的，施工进度表或网络图表达不明确、不清晰、较混乱的得1分；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主材表.docx</w:t>
            </w:r>
          </w:p>
        </w:tc>
      </w:tr>
      <w:tr>
        <w:tc>
          <w:tcPr>
            <w:tcW w:type="dxa" w:w="831"/>
            <w:vMerge/>
          </w:tcPr>
          <w:p/>
        </w:tc>
        <w:tc>
          <w:tcPr>
            <w:tcW w:type="dxa" w:w="1661"/>
          </w:tcPr>
          <w:p>
            <w:pPr>
              <w:pStyle w:val="null3"/>
            </w:pPr>
            <w:r>
              <w:rPr>
                <w:rFonts w:ascii="仿宋_GB2312" w:hAnsi="仿宋_GB2312" w:cs="仿宋_GB2312" w:eastAsia="仿宋_GB2312"/>
              </w:rPr>
              <w:t>拟派施工组织和项目管理机构成员</w:t>
            </w:r>
          </w:p>
        </w:tc>
        <w:tc>
          <w:tcPr>
            <w:tcW w:type="dxa" w:w="2492"/>
          </w:tcPr>
          <w:p>
            <w:pPr>
              <w:pStyle w:val="null3"/>
            </w:pPr>
            <w:r>
              <w:rPr>
                <w:rFonts w:ascii="仿宋_GB2312" w:hAnsi="仿宋_GB2312" w:cs="仿宋_GB2312" w:eastAsia="仿宋_GB2312"/>
              </w:rPr>
              <w:t>①项目部组织结构、项目下设部门岗位职责合理，专业作业队配置齐全；合理、齐全得8分； ②项目部组织结构、项目下设部门岗位职责较为合理，专业作业队配置较为完善；部分合理得5分； ③项目部组织结构、项目下设部门岗位职责不合理，人员配置不完善得2分； 未提供的不得分。 备注：拟派施工项目管理机构成员：提供有效的身份证复印件、毕业证、供应商近半年内任意一个月社保缴纳证明以及其他能证明项目管理机构成员执业资格和能力的证书。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主材表.docx</w:t>
            </w:r>
          </w:p>
        </w:tc>
      </w:tr>
      <w:tr>
        <w:tc>
          <w:tcPr>
            <w:tcW w:type="dxa" w:w="831"/>
            <w:vMerge/>
          </w:tcPr>
          <w:p/>
        </w:tc>
        <w:tc>
          <w:tcPr>
            <w:tcW w:type="dxa" w:w="1661"/>
          </w:tcPr>
          <w:p>
            <w:pPr>
              <w:pStyle w:val="null3"/>
            </w:pPr>
            <w:r>
              <w:rPr>
                <w:rFonts w:ascii="仿宋_GB2312" w:hAnsi="仿宋_GB2312" w:cs="仿宋_GB2312" w:eastAsia="仿宋_GB2312"/>
              </w:rPr>
              <w:t>主材产品</w:t>
            </w:r>
          </w:p>
        </w:tc>
        <w:tc>
          <w:tcPr>
            <w:tcW w:type="dxa" w:w="2492"/>
          </w:tcPr>
          <w:p>
            <w:pPr>
              <w:pStyle w:val="null3"/>
            </w:pPr>
            <w:r>
              <w:rPr>
                <w:rFonts w:ascii="仿宋_GB2312" w:hAnsi="仿宋_GB2312" w:cs="仿宋_GB2312" w:eastAsia="仿宋_GB2312"/>
              </w:rPr>
              <w:t>①提供主材产品的质量证明材料及证明材料(包括但不限于有效期内所投产品的检测报告、产品官网截图、产品的认证证书等资料);主材品牌、规格、型号及生产厂家，明细且具有市场认知度;品牌、规格型号等内容明确且相关材料齐全者得:8分; ②缺少部分证明材料或相关材料明确程度一般者得5分; ③主材信息部分缺失或仅提供个别证明材料无法佐证所投产品:2分；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主材表.docx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供应商提供2022年1月1日至今类似项目业绩，每提供一个有效业绩得3分，最高得9分。（业绩以合同或中标通知书为准，时间以合同签订时间或中标通知书时间为准）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主材表.docx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①针对本项目拟派的项目负责人具备建筑工程专业高级及以上职称得2分，中级职称得1分。 注：须提供合格有效的相关证书及供应商近半年内任意一个月为其缴纳社保的证明材料复印件并加盖公章，未提供不得分。 ②项目负责人具有丰富的工作经验，提供近三年（2022年1月1日至响应文件递交截止之日，以合同签订时间为准）的类似业绩，每提供一份得2分，最高2分。 注：以供应商加盖公章的合同复印件为准，合同中须体现项目负责人的姓名。项目负责人业绩与企业业绩可重复计算。</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主材表.docx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详见附件：主材表.docx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