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版本号：SZT2025-SN-SC-ZC-GC-065520250711001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SZT2025-SN-SC-ZC-GC-0655</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消防整改项目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SZT2025-SN-SC-ZC-GC-0655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陕西省汉中市汉台区陕西理工大学（南校区）。主要施工内容为：1.东门2#临街房进行消防改造翻新。2.南校区室外部分消防管网改造。3.对室外地面绿化进行拆除和修复。4.砌筑砖砌电缆沟。5.地面拆除恢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采购包1（消防整改）：属于专门面向中小企业采购。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1、拟派项目负责人资质和专业要求：项目经理需具备建筑工程专业二级或以上注册建造师证书和安全生产考核合格证（B证），且无在建工程项目（提供承诺函）</w:t>
      </w:r>
    </w:p>
    <w:p>
      <w:pPr>
        <w:pStyle w:val="null3"/>
      </w:pPr>
      <w:r>
        <w:rPr>
          <w:rFonts w:ascii="仿宋_GB2312" w:hAnsi="仿宋_GB2312" w:cs="仿宋_GB2312" w:eastAsia="仿宋_GB2312"/>
        </w:rPr>
        <w:t>2、法定代表人授权委托书：供应商应授权合法的人员参加磋商，其中法定代表人直接参加的，须提供法定代表人身份证，并与营业执照上信息一致。法定代表人授权代表参加的，须提供法定代表人授权书</w:t>
      </w:r>
    </w:p>
    <w:p>
      <w:pPr>
        <w:pStyle w:val="null3"/>
      </w:pPr>
      <w:r>
        <w:rPr>
          <w:rFonts w:ascii="仿宋_GB2312" w:hAnsi="仿宋_GB2312" w:cs="仿宋_GB2312" w:eastAsia="仿宋_GB2312"/>
        </w:rPr>
        <w:t>3、供应商具备建筑工程施工总承包三级及以上资质，和有效的安全生产许可证；（不接受批准件）：供应商具备建筑工程施工总承包三级及以上资质，和有效的安全生产许可证；（不接受批准件）</w:t>
      </w:r>
    </w:p>
    <w:p>
      <w:pPr>
        <w:pStyle w:val="null3"/>
      </w:pPr>
      <w:r>
        <w:rPr>
          <w:rFonts w:ascii="仿宋_GB2312" w:hAnsi="仿宋_GB2312" w:cs="仿宋_GB2312" w:eastAsia="仿宋_GB2312"/>
        </w:rPr>
        <w:t>4、供应商及项目经理信息在“陕西省住房和城乡建设厅网站”或“陕西省建筑市场监管与诚信信息发布平台”备案可查询，提供查询截图：供应商及项目经理信息在“陕西省住房和城乡建设厅网站”或“陕西省建筑市场监管与诚信信息发布平台”备案可查询，提供查询截图</w:t>
      </w:r>
    </w:p>
    <w:p>
      <w:pPr>
        <w:pStyle w:val="null3"/>
      </w:pPr>
      <w:r>
        <w:rPr>
          <w:rFonts w:ascii="仿宋_GB2312" w:hAnsi="仿宋_GB2312" w:cs="仿宋_GB2312" w:eastAsia="仿宋_GB2312"/>
        </w:rPr>
        <w:t>5、本项目不接受联合体磋商：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采购包1：2,529,104.83元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说明：可采取银行转账或履约担保方式提交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中工程类收费标准，30万-100万(含)项目，代理费按《招标代理服务收费暂行办法》(计价格〔2002〕1980号)的80%计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合同文本，磋商文件，响应文件，国内相应的标准、规范等。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2,529,104.83</w:t>
      </w:r>
    </w:p>
    <w:p>
      <w:pPr>
        <w:pStyle w:val="null3"/>
      </w:pPr>
      <w:r>
        <w:rPr>
          <w:rFonts w:ascii="仿宋_GB2312" w:hAnsi="仿宋_GB2312" w:cs="仿宋_GB2312" w:eastAsia="仿宋_GB2312"/>
        </w:rPr>
        <w:t>采购包最高限价（元）: 2,529,104.83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2,529,104.83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工程概况：</w:t>
            </w:r>
          </w:p>
          <w:p>
            <w:pPr>
              <w:pStyle w:val="null3"/>
            </w:pPr>
            <w:r>
              <w:rPr>
                <w:rFonts w:ascii="仿宋_GB2312" w:hAnsi="仿宋_GB2312" w:cs="仿宋_GB2312" w:eastAsia="仿宋_GB2312"/>
                <w:sz w:val="21"/>
              </w:rPr>
              <w:t>该项目建设地点位于陕西省汉中市</w:t>
            </w:r>
            <w:r>
              <w:rPr>
                <w:rFonts w:ascii="仿宋_GB2312" w:hAnsi="仿宋_GB2312" w:cs="仿宋_GB2312" w:eastAsia="仿宋_GB2312"/>
                <w:sz w:val="21"/>
              </w:rPr>
              <w:t>汉台区陕西理工大学（南校区）。主要施工内容为：1.东门2#临街房进行消防改造翻新。2.南校区室外部分消防管网改造。3.对室外地面绿化进行拆除和修复。4.砌筑砖砌电缆沟。5.地面拆除恢复。</w:t>
            </w:r>
          </w:p>
          <w:p>
            <w:pPr>
              <w:pStyle w:val="null3"/>
              <w:jc w:val="both"/>
            </w:pPr>
            <w:r>
              <w:rPr>
                <w:rFonts w:ascii="仿宋_GB2312" w:hAnsi="仿宋_GB2312" w:cs="仿宋_GB2312" w:eastAsia="仿宋_GB2312"/>
                <w:sz w:val="21"/>
              </w:rPr>
              <w:t>验收标准：按照国家工程质量标准验收</w:t>
            </w:r>
          </w:p>
          <w:p>
            <w:pPr>
              <w:pStyle w:val="null3"/>
            </w:pPr>
            <w:r>
              <w:rPr>
                <w:rFonts w:ascii="仿宋_GB2312" w:hAnsi="仿宋_GB2312" w:cs="仿宋_GB2312" w:eastAsia="仿宋_GB2312"/>
                <w:sz w:val="21"/>
              </w:rPr>
              <w:t>质保期:验收合格后 24个月</w:t>
            </w:r>
            <w:r>
              <w:br/>
            </w:r>
            <w:r>
              <w:rPr>
                <w:rFonts w:ascii="仿宋_GB2312" w:hAnsi="仿宋_GB2312" w:cs="仿宋_GB2312" w:eastAsia="仿宋_GB2312"/>
                <w:sz w:val="21"/>
              </w:rPr>
              <w:t xml:space="preserve"> 响应时效:即时响应(包括电话响应):电话响应无法解决 24 小时内到达现场。修复时间 48 小时内解决:如 48小时内无法修复，应提供相应解决方案。</w:t>
            </w:r>
          </w:p>
          <w:p>
            <w:pPr>
              <w:pStyle w:val="null3"/>
            </w:pPr>
            <w:r>
              <w:rPr>
                <w:rFonts w:ascii="仿宋_GB2312" w:hAnsi="仿宋_GB2312" w:cs="仿宋_GB2312" w:eastAsia="仿宋_GB2312"/>
                <w:sz w:val="21"/>
              </w:rPr>
              <w:t>履约保证金的金额:成交金额的 3%履约保证金的形式:可采取银行转账或履约担保方式提交</w:t>
            </w:r>
          </w:p>
          <w:p>
            <w:pPr>
              <w:pStyle w:val="null3"/>
            </w:pPr>
            <w:r>
              <w:rPr>
                <w:rFonts w:ascii="仿宋_GB2312" w:hAnsi="仿宋_GB2312" w:cs="仿宋_GB2312" w:eastAsia="仿宋_GB2312"/>
              </w:rPr>
              <w:t>付款方式：</w:t>
            </w:r>
            <w:r>
              <w:rPr>
                <w:rFonts w:ascii="仿宋_GB2312" w:hAnsi="仿宋_GB2312" w:cs="仿宋_GB2312" w:eastAsia="仿宋_GB2312"/>
                <w:sz w:val="21"/>
              </w:rPr>
              <w:t>工程进度至合同约定的总工程量的70%时，发包人向承包人支付合同约定的总款的 50%；竣工验收合格后，发包人再向承包人支付合同约定的总款的30%；发包人或经发包人委托的第三方,对承包人提交的工程结算进行审核后,发包人依据工程结算审核结果金额，向承包人支付总工程款17%，承包人持《终验合格单》原件和全额发票在发包人处办理此项工程款:剩余总工程款的3%作为质量保证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详见采购内容及要求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1、为顺利推进政府采购电子化交易平台试点应用工作，供应商需要在线提交所有通过电子化交易平台实施的政府采购项目的投标文件，同时，线下提交投标文件正本 壹 份、副本贰份、电子版壹 套（U盘一套标明供应商名称，随正本密封）。若系统电子投标文件与纸质投标文件不一致的，以系统电子投标文件为准。 2、定标环节采购人有权对响应文件承诺响应的内容进行复核，如有虚假响应，一经发现，取消成交资格并上报财政主管部门，列入政府采购黑名单。 3、纸质版投标文件双面打印。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 2）2024年度经审计的财务报告或在磋商日期前12个月内银行出具的资信证明； 3）提供具有履行本合同所必需专业技术能力的说明及承诺； 4）依法缴纳税收和社会保障资金的良好记录（截止磋商日期前12个月内任意1个月的缴费凭据或提供税务部门和社保部门出具的纳税证明和社保证明）。依法免税的供应商提供相应文件证明其依法免税；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项目经理需具备建筑工程专业二级或以上注册建造师证书和安全生产考核合格证（B证），且无在建工程项目（提供承诺函）</w:t>
            </w:r>
          </w:p>
        </w:tc>
        <w:tc>
          <w:tcPr>
            <w:tcW w:type="dxa" w:w="1661"/>
          </w:tcPr>
          <w:p>
            <w:pPr>
              <w:pStyle w:val="null3"/>
            </w:pPr>
            <w:r>
              <w:rPr>
                <w:rFonts w:ascii="仿宋_GB2312" w:hAnsi="仿宋_GB2312" w:cs="仿宋_GB2312" w:eastAsia="仿宋_GB2312"/>
              </w:rPr>
              <w:t>已标价工程量清单 项目管理机构组成表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供应商应授权合法的人员参加磋商，其中法定代表人直接参加的，须提供法定代表人身份证，并与营业执照上信息一致。法定代表人授权代表参加的，须提供法定代表人授权书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供应商具备建筑工程施工总承包三级及以上资质，和有效的安全生产许可证；（不接受批准件）</w:t>
            </w:r>
          </w:p>
        </w:tc>
        <w:tc>
          <w:tcPr>
            <w:tcW w:type="dxa" w:w="3322"/>
          </w:tcPr>
          <w:p>
            <w:pPr>
              <w:pStyle w:val="null3"/>
            </w:pPr>
            <w:r>
              <w:rPr>
                <w:rFonts w:ascii="仿宋_GB2312" w:hAnsi="仿宋_GB2312" w:cs="仿宋_GB2312" w:eastAsia="仿宋_GB2312"/>
              </w:rPr>
              <w:t>供应商具备建筑工程施工总承包三级及以上资质，和有效的安全生产许可证；（不接受批准件）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供应商及项目经理信息在“陕西省住房和城乡建设厅网站”或“陕西省建筑市场监管与诚信信息发布平台”备案可查询，提供查询截图</w:t>
            </w:r>
          </w:p>
        </w:tc>
        <w:tc>
          <w:tcPr>
            <w:tcW w:type="dxa" w:w="3322"/>
          </w:tcPr>
          <w:p>
            <w:pPr>
              <w:pStyle w:val="null3"/>
            </w:pPr>
            <w:r>
              <w:rPr>
                <w:rFonts w:ascii="仿宋_GB2312" w:hAnsi="仿宋_GB2312" w:cs="仿宋_GB2312" w:eastAsia="仿宋_GB2312"/>
              </w:rPr>
              <w:t>供应商及项目经理信息在“陕西省住房和城乡建设厅网站”或“陕西省建筑市场监管与诚信信息发布平台”备案可查询，提供查询截图</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报价函 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响应文件封面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 24个月</w:t>
            </w:r>
          </w:p>
        </w:tc>
        <w:tc>
          <w:tcPr>
            <w:tcW w:type="dxa" w:w="1661"/>
          </w:tcPr>
          <w:p>
            <w:pPr>
              <w:pStyle w:val="null3"/>
            </w:pPr>
            <w:r>
              <w:rPr>
                <w:rFonts w:ascii="仿宋_GB2312" w:hAnsi="仿宋_GB2312" w:cs="仿宋_GB2312" w:eastAsia="仿宋_GB2312"/>
              </w:rPr>
              <w:t>响应文件封面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工程进度至合同约定的总工程量的70%时，发包人向承包人支付合同约定的总款的 50%；竣工验收合格后，发包人再向承包人支付合同约定的总款的30%；发包人或经发包人委托的第三方,对承包人提交的工程结算进行审核后,发包人依据工程结算审核结果金额，向承包人支付总工程款17%，承包人持《终验合格单》原件和全额发票在发包人处办理此项工程款;剩余总工程款的3%作为质量保证金。</w:t>
            </w:r>
          </w:p>
        </w:tc>
        <w:tc>
          <w:tcPr>
            <w:tcW w:type="dxa" w:w="1661"/>
          </w:tcPr>
          <w:p>
            <w:pPr>
              <w:pStyle w:val="null3"/>
            </w:pPr>
            <w:r>
              <w:rPr>
                <w:rFonts w:ascii="仿宋_GB2312" w:hAnsi="仿宋_GB2312" w:cs="仿宋_GB2312" w:eastAsia="仿宋_GB2312"/>
              </w:rPr>
              <w:t>响应文件封面 商务及技术偏离表.docx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针对本项目提供的实施方案进行综合评审。 A.实施方案完整详细、有针对性，完全满足项目实施，具有优化建议的得10分； B.实施方案完整，可行，能满足项目实施的全部要求的得8分； C.实施方案非专门针对本项目，存在少量逻辑漏洞或前后内容不一致的得5分； D.实施方案有较大缺陷，或完全套用其他项目且内容较少的得2分;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安全作业方案</w:t>
            </w:r>
          </w:p>
        </w:tc>
        <w:tc>
          <w:tcPr>
            <w:tcW w:type="dxa" w:w="2492"/>
          </w:tcPr>
          <w:p>
            <w:pPr>
              <w:pStyle w:val="null3"/>
            </w:pPr>
            <w:r>
              <w:rPr>
                <w:rFonts w:ascii="仿宋_GB2312" w:hAnsi="仿宋_GB2312" w:cs="仿宋_GB2312" w:eastAsia="仿宋_GB2312"/>
              </w:rPr>
              <w:t>针对本项目提供具体的安全作业方案及安全配套措施进行综合评审。 A.提供具体详细、有针对性的安全作业方案及安全配套措施，完全符合采购人安全作业要求且具有优化建议的，得10分； B.提供安全作业方案及安全配套措施，符合采购人安全作业的要求，得8分； C.提供的安全作业方案及安全配套措施非专门针对本项目，套用其他项目内容，存在少量逻辑漏洞或前后内容不一致的得5分； D.提供的安全作业方案及安全配套措施简陋，存在影响采购人安全作业要求实现的，得2分。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A.措施计划详细齐全、合理且切实可行，完全满足采购人需求，具有优化建议的得8分； B.措施计划齐全、合理、切实可行，满足采购人需求得6分； C.措施计划非专门针对本项目，存在少量逻辑漏洞或前后内容不一致的得4分；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针对本项目提供的工程质量及工期的技术组织措施进行综合评审。 A.措施计划详细齐全、合理且切实可行，完全满足采购人需求，具有优化建议的得8分； B.措施计划齐全、合理、切实可行，满足采购人需求得6分； C.措施计划非专门针对本项目，存在少量逻辑漏洞或前后内容不一致的得4分；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A.机构设置合理完善，人员配备齐全，技术经验丰富，人员专业性强，完全满足项目需求得8分； B.机构设置合理，人员配备齐全，且具备从业经验，满足项目需求得6分； C.机构设置非专门针对本项目，人员配备、技术经验有欠缺的得4分； D.机构设置、人员配备不完整，或完整但无相关经验的得2分； 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针对本项目投入的施工机械配备和材料投入计划等进行综合评审。 A.施工机械配备合理并提供设备来源证明材料，证明材料齐全且投入材料环保性优于国家标准的得7分； B.施工机械配备合理和材料环保性较好，提供了设备来源证明材料的得5分； C.施工机械配备和材料投入计划基本合理、可行，但未提供其他证明材料的得3分； D.施工机械配备和材料投入计划较差，影响本项目实施的得1分； E.未提供得0分。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针对本项目的劳动力安排计划及劳务分包情况表，根据合理、可行程度进行综合评审。 A.劳动力安排计划及劳务分包完整、合理、可行，有利于本项目实施的得5分； B.劳动力安排计划及劳务分包合理、可行的，基本能满足项目实施的得3分； C.劳动力安排计划及劳务分包可行性较差，存在缺陷的得2分；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项目负责人及主要人员.docx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主要材料的质量及来源</w:t>
            </w:r>
          </w:p>
        </w:tc>
        <w:tc>
          <w:tcPr>
            <w:tcW w:type="dxa" w:w="2492"/>
          </w:tcPr>
          <w:p>
            <w:pPr>
              <w:pStyle w:val="null3"/>
            </w:pPr>
            <w:r>
              <w:rPr>
                <w:rFonts w:ascii="仿宋_GB2312" w:hAnsi="仿宋_GB2312" w:cs="仿宋_GB2312" w:eastAsia="仿宋_GB2312"/>
              </w:rPr>
              <w:t>供应商提供内外浸镀锌钢管、金属软管、对夹式蝶阀、孔网钢带PE管材等主要材料的产品选型清单及来源渠道的证明材料 1.产品选型科学，提供产品清单，技术参数性能完全满足采购人要求，来源渠道的证明材料齐全得8分； 2.产品选型合理，提供产品清单，技术参数性能满足采购人要求，提供了部分产品来源渠道的证明材料的得5分； 3.产品选型与技术参数性能基本满足采购人要求，提供了产品清单的得3分； 4.未提供主要材料表不得分。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提供供应商2022年1月至今同类项目业绩；每提供1份计2分，满分6分。（以合同签订日期为准）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满足磋商文件要求且最后报价最低的磋商报价为磋商基准价，其价格分为满分。其他供应商的价格分统一按照下列公式计算：报价得分=（磋商基准价/最后报价）×最后报价总分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详见附件：项目负责人及主要人员.docx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