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版本号：WSQ-2025-45920250711001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明光路东侧、尚稷路北侧约330亩储备地（130商业、200亩住宅）考古勘探劳务协作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WSQ-2025-459</w:t>
      </w:r>
      <w:r>
        <w:br/>
      </w:r>
      <w:r>
        <w:br/>
      </w:r>
      <w:r>
        <w:br/>
      </w:r>
    </w:p>
    <w:p>
      <w:pPr>
        <w:pStyle w:val="null3"/>
        <w:jc w:val="center"/>
        <w:outlineLvl w:val="2"/>
      </w:pPr>
      <w:r>
        <w:rPr>
          <w:rFonts w:ascii="仿宋_GB2312" w:hAnsi="仿宋_GB2312" w:cs="仿宋_GB2312" w:eastAsia="仿宋_GB2312"/>
          <w:sz w:val="28"/>
          <w:b/>
        </w:rPr>
        <w:t>陕西省考古研究院</w:t>
      </w:r>
    </w:p>
    <w:p>
      <w:pPr>
        <w:pStyle w:val="null3"/>
        <w:jc w:val="center"/>
        <w:outlineLvl w:val="2"/>
      </w:pPr>
      <w:r>
        <w:rPr>
          <w:rFonts w:ascii="仿宋_GB2312" w:hAnsi="仿宋_GB2312" w:cs="仿宋_GB2312" w:eastAsia="仿宋_GB2312"/>
          <w:sz w:val="28"/>
          <w:b/>
        </w:rPr>
        <w:t>陕西旺生泉项目管理有限公司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陕西旺生泉项目管理有限公司</w:t>
      </w:r>
      <w:r>
        <w:rPr>
          <w:rFonts w:ascii="仿宋_GB2312" w:hAnsi="仿宋_GB2312" w:cs="仿宋_GB2312" w:eastAsia="仿宋_GB2312"/>
        </w:rPr>
        <w:t>（以下简称“代理机构”）受</w:t>
      </w:r>
      <w:r>
        <w:rPr>
          <w:rFonts w:ascii="仿宋_GB2312" w:hAnsi="仿宋_GB2312" w:cs="仿宋_GB2312" w:eastAsia="仿宋_GB2312"/>
        </w:rPr>
        <w:t>陕西省考古研究院</w:t>
      </w:r>
      <w:r>
        <w:rPr>
          <w:rFonts w:ascii="仿宋_GB2312" w:hAnsi="仿宋_GB2312" w:cs="仿宋_GB2312" w:eastAsia="仿宋_GB2312"/>
        </w:rPr>
        <w:t>委托，拟对</w:t>
      </w:r>
      <w:r>
        <w:rPr>
          <w:rFonts w:ascii="仿宋_GB2312" w:hAnsi="仿宋_GB2312" w:cs="仿宋_GB2312" w:eastAsia="仿宋_GB2312"/>
        </w:rPr>
        <w:t>明光路东侧、尚稷路北侧约330亩储备地（130商业、200亩住宅）考古勘探劳务协作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WSQ-2025-459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明光路东侧、尚稷路北侧约330亩储备地（130商业、200亩住宅）考古勘探劳务协作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明光路东侧、尚稷路北侧约330亩储备地（130商业、200亩住宅）考古勘探劳务协作，具体内容详见磋商文件第三章。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采购包1（明光路东侧、尚稷路北侧约330亩储备地（130商业、200亩住宅）考古勘探劳务协作）：属于专门面向中小企业采购。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财务状况审查：财务状况报告：提供2023年度或2024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社保缴纳审查：社保缴纳证明：提供递交响应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审查：税收缴纳证明：提供递交响应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5、法定代表人授权委托书审查：法定代表人授权委托书：法定代表人直接参加磋商的，须出具法定代表人身份证及法定代表人身份证明，法定代表人授权代表参加磋商的，须出具法定代表人授权书及授权代表身份证；供应商需在项目电子化交易系统中按要求上传相应证明文件并进行电子签章。</w:t>
      </w:r>
    </w:p>
    <w:p>
      <w:pPr>
        <w:pStyle w:val="null3"/>
      </w:pPr>
      <w:r>
        <w:rPr>
          <w:rFonts w:ascii="仿宋_GB2312" w:hAnsi="仿宋_GB2312" w:cs="仿宋_GB2312" w:eastAsia="仿宋_GB2312"/>
        </w:rPr>
        <w:t>6、无重大违法记录：无重大违法记录：供应商参加政府采购活动前3年内在经营活动中没有重大违法记录；供应商需在项目电子化交易系统中按要求填写《响应函》完成承诺并进行电子签章。</w:t>
      </w:r>
    </w:p>
    <w:p>
      <w:pPr>
        <w:pStyle w:val="null3"/>
      </w:pPr>
      <w:r>
        <w:rPr>
          <w:rFonts w:ascii="仿宋_GB2312" w:hAnsi="仿宋_GB2312" w:cs="仿宋_GB2312" w:eastAsia="仿宋_GB2312"/>
        </w:rPr>
        <w:t>7、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填写《承诺书》完成承诺并进行电子签章。</w:t>
      </w:r>
    </w:p>
    <w:p>
      <w:pPr>
        <w:pStyle w:val="null3"/>
      </w:pPr>
      <w:r>
        <w:rPr>
          <w:rFonts w:ascii="仿宋_GB2312" w:hAnsi="仿宋_GB2312" w:cs="仿宋_GB2312" w:eastAsia="仿宋_GB2312"/>
        </w:rPr>
        <w:t>8、其他承诺响应：具有履行合同所必需的设备和专业技术能力；未为本项目提供整体设计、规范编制或者项目管理、监理、检测等服务；供应商需在项目电子化交易系统中按要求填写《响应函》完成承诺并进行电子签章。</w:t>
      </w:r>
    </w:p>
    <w:p>
      <w:pPr>
        <w:pStyle w:val="null3"/>
      </w:pPr>
      <w:r>
        <w:rPr>
          <w:rFonts w:ascii="仿宋_GB2312" w:hAnsi="仿宋_GB2312" w:cs="仿宋_GB2312" w:eastAsia="仿宋_GB2312"/>
        </w:rPr>
        <w:t>9、控股管理关系：控股管理关系：单位负责人为同一人或者存在直接控股、管理关系的供应商，不得参加同一合同下的政府采购活动；供应商需在项目电子化交易系统中按要求填写《响应函》完成承诺并进行电子签章。</w:t>
      </w:r>
    </w:p>
    <w:p>
      <w:pPr>
        <w:pStyle w:val="null3"/>
      </w:pPr>
      <w:r>
        <w:rPr>
          <w:rFonts w:ascii="仿宋_GB2312" w:hAnsi="仿宋_GB2312" w:cs="仿宋_GB2312" w:eastAsia="仿宋_GB2312"/>
        </w:rPr>
        <w:t>10、联合体：本项目不接受联合体响应，不允许分包；供应商需在项目电子化交易系统中按要求填写《承诺书》完成承诺并进行电子签章。</w:t>
      </w:r>
    </w:p>
    <w:p>
      <w:pPr>
        <w:pStyle w:val="null3"/>
      </w:pPr>
      <w:r>
        <w:rPr>
          <w:rFonts w:ascii="仿宋_GB2312" w:hAnsi="仿宋_GB2312" w:cs="仿宋_GB2312" w:eastAsia="仿宋_GB2312"/>
        </w:rPr>
        <w:t>11、中小企业：本项目为专门面向中小企业的采购，供应商应为中型企业、小型企业、微型企业或监狱企业或残疾人福利性单位，需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陕西省西安市长安区郭杜街道周家庄村南文苑南路东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029-89053256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陕西旺生泉项目管理有限公司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陕西省西安市高新区沣惠南路34号摩尔中心1幢11601室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029-84198629 15389248069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采购包1：783,612.00元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暂行办法》（计价格[2002]1980号）文件规定服务类标准，按照优惠后的下浮费率收费计取，成交服务费按差额定率累进法计算，分包的项目，按包收取。服务费不足5000元的，按5000元收取。 100以下（不含）： 不下浮； 100（含）-500（不含）：下浮10%； 500（含）-1000（不含）：下浮20%。 代理费缴纳账号信息： 公司名称：陕西旺生泉项目管理有限公司 开户行：中国银行股份有限公司西安南郊支行 账号：103694288939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陕西省考古研究院</w:t>
      </w:r>
      <w:r>
        <w:rPr>
          <w:rFonts w:ascii="仿宋_GB2312" w:hAnsi="仿宋_GB2312" w:cs="仿宋_GB2312" w:eastAsia="仿宋_GB2312"/>
        </w:rPr>
        <w:t>和</w:t>
      </w:r>
      <w:r>
        <w:rPr>
          <w:rFonts w:ascii="仿宋_GB2312" w:hAnsi="仿宋_GB2312" w:cs="仿宋_GB2312" w:eastAsia="仿宋_GB2312"/>
        </w:rPr>
        <w:t>陕西旺生泉项目管理有限公司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陕西省考古研究院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陕西旺生泉项目管理有限公司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陕西旺生泉项目管理有限公司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按规范执行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联系人：李婷婷</w:t>
      </w:r>
    </w:p>
    <w:p>
      <w:pPr>
        <w:pStyle w:val="null3"/>
      </w:pPr>
      <w:r>
        <w:rPr>
          <w:rFonts w:ascii="仿宋_GB2312" w:hAnsi="仿宋_GB2312" w:cs="仿宋_GB2312" w:eastAsia="仿宋_GB2312"/>
        </w:rPr>
        <w:t>联系电话：029-84198629 15389248069</w:t>
      </w:r>
    </w:p>
    <w:p>
      <w:pPr>
        <w:pStyle w:val="null3"/>
      </w:pPr>
      <w:r>
        <w:rPr>
          <w:rFonts w:ascii="仿宋_GB2312" w:hAnsi="仿宋_GB2312" w:cs="仿宋_GB2312" w:eastAsia="仿宋_GB2312"/>
        </w:rPr>
        <w:t>地址：陕西省西安市高新区沣惠南路34号摩尔中心A座11601室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位于西安市未央区明光路以东、河堤路以南、尚稷路以北，陕西城际铁路有限公司东侧、南侧，面积为217670.00㎡，服务期：50个工作日。必须严格按照《考古勘探工作规程》（试行）进行施工。普探布点间距为梅花孔1米布设，加点位置偏差小于20厘米，深度为天然原始土层以下10厘米，对勘探出的古遗址、古墓葬等古文化遗迹做好绘图、照相、测绘、定点等工作。必须有勘探工作日志及原始资料记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783,612.00</w:t>
      </w:r>
    </w:p>
    <w:p>
      <w:pPr>
        <w:pStyle w:val="null3"/>
      </w:pPr>
      <w:r>
        <w:rPr>
          <w:rFonts w:ascii="仿宋_GB2312" w:hAnsi="仿宋_GB2312" w:cs="仿宋_GB2312" w:eastAsia="仿宋_GB2312"/>
        </w:rPr>
        <w:t>采购包最高限价（元）: 783,612.00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考古勘探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783,612.00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标的名称：考古勘探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所配备人员充足，可保证本项目顺利实施。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所提供设施设备充足先进，可保证本项目顺利实施。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50个工作日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西安市未央区明光路以东、河堤路以南、尚稷路以北，陕西城际铁路有限公司东侧、南侧</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完成合同内容，提交验收报告</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法律途径解决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财务状况报告：提供2023年度或2024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社保缴纳证明：提供递交响应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税收缴纳证明：提供递交响应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授权委托书：法定代表人直接参加磋商的，须出具法定代表人身份证及法定代表人身份证明，法定代表人授权代表参加磋商的，须出具法定代表人授权书及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无重大违法记录：供应商参加政府采购活动前3年内在经营活动中没有重大违法记录；供应商需在项目电子化交易系统中按要求填写《响应函》完成承诺并进行电子签章。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具有履行合同所必需的设备和专业技术能力；未为本项目提供整体设计、规范编制或者项目管理、监理、检测等服务；供应商需在项目电子化交易系统中按要求填写《响应函》完成承诺并进行电子签章。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控股管理关系：单位负责人为同一人或者存在直接控股、管理关系的供应商，不得参加同一合同下的政府采购活动；供应商需在项目电子化交易系统中按要求填写《响应函》完成承诺并进行电子签章。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本项目不接受联合体响应，不允许分包；供应商需在项目电子化交易系统中按要求填写《承诺书》完成承诺并进行电子签章。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为专门面向中小企业的采购，供应商应为中型企业、小型企业、微型企业或监狱企业或残疾人福利性单位，需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按照磋商文件格式要求签署盖章</w:t>
            </w:r>
          </w:p>
        </w:tc>
        <w:tc>
          <w:tcPr>
            <w:tcW w:type="dxa" w:w="1661"/>
          </w:tcPr>
          <w:p>
            <w:pPr>
              <w:pStyle w:val="null3"/>
            </w:pPr>
            <w:r>
              <w:rPr>
                <w:rFonts w:ascii="仿宋_GB2312" w:hAnsi="仿宋_GB2312" w:cs="仿宋_GB2312" w:eastAsia="仿宋_GB2312"/>
              </w:rPr>
              <w:t>业绩一览表.docx 中小企业声明函 承诺书.docx 报价表 技术指标偏差表.docx 商务条款响应说明.docx 响应文件封面 法定代表人身份证明书.docx 供应商应提交的相关资格证明材料.docx 残疾人福利性单位声明函 标的清单 响应函 法定代表人授权委托书.docx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供应商报价未超过采购预算价或者最高限价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1、提供针对本项目的考古勘探方案质量控制，对质量检查措施、检验控制系统等有详细说明。 ①内容具体、完整、详细、全面、可行性强，计6-10分； ②内容欠缺、薄弱、仅能满足项目需求，计1-6分； ③未提供不得分。 2、提供针对本项目的考古勘探方案技术，供应商对考古勘探方案技术有详细说明。 ①内容具体、完整、详细、全面、可行性强，6-10分； ②内容欠缺、薄弱、仅能满足项目需求，计1-6分； ③未提供不得分。 3、提供针对本项目的工期目标和工作计划，包含工作任务、技术路线、人员分工和职责、工作进度、文物保护措施等，并对其有详细说明。 ①内容具体、完整、详细、全面、可行性强，计4-7分； ②内容欠缺、薄弱、仅能满足项目需求，计1-4分； ③未提供不得分。 4、提供针对本项目的考古勘探方案安全管理体系与措施，并对考古勘探方案安全管理体系与措施有详细说明。 ①内容具体、完整、详细、全面、可行性强，计4-8分； ②内容欠缺、薄弱、仅能满足项目需求，计 1-4分； ③未提供不得分。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提出针对本项目的具体服务承诺，包含接到项目后响应时间、完成时间、后续服务及过程服务等内容等，并对其有详细说明。 ①内容具体、完整、详细、全面、可行性强，计3-5分； ②内容欠缺、薄弱的、仅能满足项目需求，计 1-3分； ③未提供方案不得分。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安全应急预案</w:t>
            </w:r>
          </w:p>
        </w:tc>
        <w:tc>
          <w:tcPr>
            <w:tcW w:type="dxa" w:w="2492"/>
          </w:tcPr>
          <w:p>
            <w:pPr>
              <w:pStyle w:val="null3"/>
            </w:pPr>
            <w:r>
              <w:rPr>
                <w:rFonts w:ascii="仿宋_GB2312" w:hAnsi="仿宋_GB2312" w:cs="仿宋_GB2312" w:eastAsia="仿宋_GB2312"/>
              </w:rPr>
              <w:t>提供针对本项目可能出现的安全情况进行应急预案及并提供具体措施。 ①急预案及措施针对性强，能及时解决问题，计3-5分； ②急预案及措施简单空泛计1-3分； ③未提供不计分。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拟投入本项目人员配备</w:t>
            </w:r>
          </w:p>
        </w:tc>
        <w:tc>
          <w:tcPr>
            <w:tcW w:type="dxa" w:w="2492"/>
          </w:tcPr>
          <w:p>
            <w:pPr>
              <w:pStyle w:val="null3"/>
            </w:pPr>
            <w:r>
              <w:rPr>
                <w:rFonts w:ascii="仿宋_GB2312" w:hAnsi="仿宋_GB2312" w:cs="仿宋_GB2312" w:eastAsia="仿宋_GB2312"/>
              </w:rPr>
              <w:t>根据供应商提供的项目组管理人员、技师、探工、资料员等配置情况，以其人数、技术职称、专业配置等进行比较。 ①项目组人员配置合理、分工及职责明确，计6-10分； ②项目组人员配置不合理、无明确的分工及职责，计1-6分； ③未提供人员配备不计分。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设备投入</w:t>
            </w:r>
          </w:p>
        </w:tc>
        <w:tc>
          <w:tcPr>
            <w:tcW w:type="dxa" w:w="2492"/>
          </w:tcPr>
          <w:p>
            <w:pPr>
              <w:pStyle w:val="null3"/>
            </w:pPr>
            <w:r>
              <w:rPr>
                <w:rFonts w:ascii="仿宋_GB2312" w:hAnsi="仿宋_GB2312" w:cs="仿宋_GB2312" w:eastAsia="仿宋_GB2312"/>
              </w:rPr>
              <w:t>根据采购要求能提供保障本项目顺利进行的设施、设备及工具，配置合理，根据所提供设备的贴合性、先进性、以及数量、品质、新旧程度等计1-5分。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1、提供近三年（2022年1月至今）考古勘探工作业绩，每提供一项得2分（以中标通知书或合同复印件为准），满分10分。 2、提供考古发掘单位出具的考古勘探验收意见书。一个优秀3分，良好2分，合格1分，不合格0分，提供2022年1月至今的证明材料（最多提供5份），满分15分。 以上业绩可重复。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满足竞争性磋商文件要求的有效报价中最低报价为最高得分点：报价最低计15分，其它报价所得分值按（最低报价／磋商报价）×15的公式计算。 注：本项目为专门面对中小企业采购项目，不再执行价格评审优惠的扶持政策。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