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版本号：【KRDL】K2-250606620250714001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陕西省党员干部现代远程教育平台设备和网络安全稳定运行服务项目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【KRDL】K2-2506066</w:t>
      </w:r>
      <w:r>
        <w:br/>
      </w:r>
      <w:r>
        <w:br/>
      </w:r>
      <w:r>
        <w:br/>
      </w:r>
    </w:p>
    <w:p>
      <w:pPr>
        <w:pStyle w:val="null3"/>
        <w:jc w:val="center"/>
        <w:outlineLvl w:val="2"/>
      </w:pPr>
      <w:r>
        <w:rPr>
          <w:rFonts w:ascii="仿宋_GB2312" w:hAnsi="仿宋_GB2312" w:cs="仿宋_GB2312" w:eastAsia="仿宋_GB2312"/>
          <w:sz w:val="28"/>
          <w:b/>
        </w:rPr>
        <w:t>省委组织部机关</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省委组织部机关</w:t>
      </w:r>
      <w:r>
        <w:rPr>
          <w:rFonts w:ascii="仿宋_GB2312" w:hAnsi="仿宋_GB2312" w:cs="仿宋_GB2312" w:eastAsia="仿宋_GB2312"/>
        </w:rPr>
        <w:t>委托，拟对</w:t>
      </w:r>
      <w:r>
        <w:rPr>
          <w:rFonts w:ascii="仿宋_GB2312" w:hAnsi="仿宋_GB2312" w:cs="仿宋_GB2312" w:eastAsia="仿宋_GB2312"/>
        </w:rPr>
        <w:t>陕西省党员干部现代远程教育平台设备和网络安全稳定运行服务项目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【KRDL】K2-2506066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陕西省党员干部现代远程教育平台设备和网络安全稳定运行服务项目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陕西省党员干部现代远程教育平台设备和网络安全稳定运行服务项目，拟对陕西省党员干部现代远程教育平台设备和网络安全稳定运行进行运维服务，具体服务内容及需求详见本项目招标文件。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1、主体资格：投标人为向采购人提供相关服务的法人或其他组织；</w:t>
      </w:r>
    </w:p>
    <w:p>
      <w:pPr>
        <w:pStyle w:val="null3"/>
      </w:pPr>
      <w:r>
        <w:rPr>
          <w:rFonts w:ascii="仿宋_GB2312" w:hAnsi="仿宋_GB2312" w:cs="仿宋_GB2312" w:eastAsia="仿宋_GB2312"/>
        </w:rPr>
        <w:t>2、信誉要求：截止至投标文件递交截止时间之前，投标人未被“信用中国”网站列入失信被执行人、重大税收违法失信主体名单，未被“中国政府采购网”网站列入政府采购严重违法失信行为记录名单；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3、投标授权代表：投标人应授权合法的人员参加本项目招标活动全过程；</w:t>
      </w:r>
    </w:p>
    <w:p>
      <w:pPr>
        <w:pStyle w:val="null3"/>
      </w:pPr>
      <w:r>
        <w:rPr>
          <w:rFonts w:ascii="仿宋_GB2312" w:hAnsi="仿宋_GB2312" w:cs="仿宋_GB2312" w:eastAsia="仿宋_GB2312"/>
        </w:rPr>
        <w:t>4、是否专门面向中小企业采购：本项目不专门面向中小企业采购。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省委组织部机关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西安市雁塔区雁塔路南段10号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029-85588712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常博皓、刘昆、姚瑶、代光艳、王昭、张晨、王森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17791161616、15829336226、029-89581311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857号）的有关规定向采购代理机构一次付清代理服务费。注：转账需备注项目名称+代理服务费/投标保证金。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省委组织部机关</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省委组织部机关</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省委组织部机关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本项目验收由采购人有关部门进行验收，质量达到现行合格标准，符合国家、行业、地方规定以及招标文件规定标准要求。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联系人：常博皓、刘昆</w:t>
      </w:r>
    </w:p>
    <w:p>
      <w:pPr>
        <w:pStyle w:val="null3"/>
      </w:pPr>
      <w:r>
        <w:rPr>
          <w:rFonts w:ascii="仿宋_GB2312" w:hAnsi="仿宋_GB2312" w:cs="仿宋_GB2312" w:eastAsia="仿宋_GB2312"/>
        </w:rPr>
        <w:t>联系电话：17791161616、15829336226、029-89581311</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陕西省党员干部现代远程教育平台设备和网络安全稳定运行服务项目，拟对陕西省党员干部现代远程教育平台设备和网络安全稳定运行进行运维服务，具体服务内容及需求详见本项目招标文件。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1,660,000.00</w:t>
      </w:r>
    </w:p>
    <w:p>
      <w:pPr>
        <w:pStyle w:val="null3"/>
      </w:pPr>
      <w:r>
        <w:rPr>
          <w:rFonts w:ascii="仿宋_GB2312" w:hAnsi="仿宋_GB2312" w:cs="仿宋_GB2312" w:eastAsia="仿宋_GB2312"/>
        </w:rPr>
        <w:t>采购包最高限价（元）: 1,660,000.00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8"/>
              <w:gridCol w:w="310"/>
              <w:gridCol w:w="310"/>
              <w:gridCol w:w="310"/>
              <w:gridCol w:w="310"/>
              <w:gridCol w:w="310"/>
              <w:gridCol w:w="310"/>
              <w:gridCol w:w="489"/>
            </w:tblGrid>
            <w:tr>
              <w:tc>
                <w:tcPr>
                  <w:tcW w:type="dxa" w:w="2547"/>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A82E5"/>
                      <w:shd w:fill="FFFFFF" w:val="clear"/>
                    </w:rPr>
                    <w:t>陕西省党员干部现代远程教育平台系统运维服务要求</w:t>
                  </w:r>
                </w:p>
              </w:tc>
            </w:tr>
            <w:tr>
              <w:tc>
                <w:tcPr>
                  <w:tcW w:type="dxa" w:w="254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一、运维服务内容</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序号</w:t>
                  </w:r>
                </w:p>
              </w:tc>
              <w:tc>
                <w:tcPr>
                  <w:tcW w:type="dxa" w:w="1240"/>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网络服务内容及要求</w:t>
                  </w:r>
                </w:p>
              </w:tc>
              <w:tc>
                <w:tcPr>
                  <w:tcW w:type="dxa" w:w="6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单位</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数量</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1</w:t>
                  </w:r>
                </w:p>
              </w:tc>
              <w:tc>
                <w:tcPr>
                  <w:tcW w:type="dxa" w:w="124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平台服务器托管（设备清单附后）及机柜租赁</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台</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3</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2</w:t>
                  </w:r>
                </w:p>
              </w:tc>
              <w:tc>
                <w:tcPr>
                  <w:tcW w:type="dxa" w:w="124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租赁卫星平台网络出口带宽</w:t>
                  </w:r>
                  <w:r>
                    <w:rPr>
                      <w:rFonts w:ascii="仿宋_GB2312" w:hAnsi="仿宋_GB2312" w:cs="仿宋_GB2312" w:eastAsia="仿宋_GB2312"/>
                      <w:sz w:val="24"/>
                      <w:color w:val="5B9BD5"/>
                    </w:rPr>
                    <w:t>1G</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条</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3</w:t>
                  </w:r>
                </w:p>
              </w:tc>
              <w:tc>
                <w:tcPr>
                  <w:tcW w:type="dxa" w:w="124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省级播出平台网络专用带宽</w:t>
                  </w:r>
                  <w:r>
                    <w:rPr>
                      <w:rFonts w:ascii="仿宋_GB2312" w:hAnsi="仿宋_GB2312" w:cs="仿宋_GB2312" w:eastAsia="仿宋_GB2312"/>
                      <w:sz w:val="24"/>
                      <w:color w:val="5B9BD5"/>
                    </w:rPr>
                    <w:t>100M</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条</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4</w:t>
                  </w:r>
                </w:p>
              </w:tc>
              <w:tc>
                <w:tcPr>
                  <w:tcW w:type="dxa" w:w="124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省平台播控中心网络出口带宽租赁（需满足</w:t>
                  </w:r>
                  <w:r>
                    <w:rPr>
                      <w:rFonts w:ascii="仿宋_GB2312" w:hAnsi="仿宋_GB2312" w:cs="仿宋_GB2312" w:eastAsia="仿宋_GB2312"/>
                      <w:sz w:val="24"/>
                      <w:color w:val="5B9BD5"/>
                    </w:rPr>
                    <w:t>2.3万用户使用需求，支持高清节目，支持并发量应大于15000）</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条</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w:t>
                  </w:r>
                </w:p>
              </w:tc>
            </w:tr>
            <w:tr>
              <w:tc>
                <w:tcPr>
                  <w:tcW w:type="dxa" w:w="254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二、</w:t>
                  </w:r>
                  <w:r>
                    <w:rPr>
                      <w:rFonts w:ascii="仿宋_GB2312" w:hAnsi="仿宋_GB2312" w:cs="仿宋_GB2312" w:eastAsia="仿宋_GB2312"/>
                      <w:sz w:val="24"/>
                      <w:b/>
                      <w:color w:val="5B9BD5"/>
                    </w:rPr>
                    <w:t>运维服务</w:t>
                  </w:r>
                  <w:r>
                    <w:rPr>
                      <w:rFonts w:ascii="仿宋_GB2312" w:hAnsi="仿宋_GB2312" w:cs="仿宋_GB2312" w:eastAsia="仿宋_GB2312"/>
                      <w:sz w:val="24"/>
                      <w:b/>
                      <w:color w:val="5B9BD5"/>
                    </w:rPr>
                    <w:t>要求</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1</w:t>
                  </w:r>
                </w:p>
              </w:tc>
              <w:tc>
                <w:tcPr>
                  <w:tcW w:type="dxa" w:w="6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平台硬件部署环境要求</w:t>
                  </w:r>
                </w:p>
              </w:tc>
              <w:tc>
                <w:tcPr>
                  <w:tcW w:type="dxa" w:w="1729"/>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平台硬件架构应托管在</w:t>
                  </w:r>
                  <w:r>
                    <w:rPr>
                      <w:rFonts w:ascii="仿宋_GB2312" w:hAnsi="仿宋_GB2312" w:cs="仿宋_GB2312" w:eastAsia="仿宋_GB2312"/>
                      <w:sz w:val="24"/>
                      <w:color w:val="5B9BD5"/>
                    </w:rPr>
                    <w:t>A级机房环境中，机柜3个，</w:t>
                  </w:r>
                  <w:r>
                    <w:rPr>
                      <w:rFonts w:ascii="仿宋_GB2312" w:hAnsi="仿宋_GB2312" w:cs="仿宋_GB2312" w:eastAsia="仿宋_GB2312"/>
                      <w:sz w:val="24"/>
                      <w:color w:val="0070C0"/>
                    </w:rPr>
                    <w:t>互联网光纤链路</w:t>
                  </w:r>
                  <w:r>
                    <w:rPr>
                      <w:rFonts w:ascii="仿宋_GB2312" w:hAnsi="仿宋_GB2312" w:cs="仿宋_GB2312" w:eastAsia="仿宋_GB2312"/>
                      <w:sz w:val="24"/>
                      <w:color w:val="0070C0"/>
                    </w:rPr>
                    <w:t>带宽出口</w:t>
                  </w:r>
                  <w:r>
                    <w:rPr>
                      <w:rFonts w:ascii="仿宋_GB2312" w:hAnsi="仿宋_GB2312" w:cs="仿宋_GB2312" w:eastAsia="仿宋_GB2312"/>
                      <w:sz w:val="24"/>
                      <w:color w:val="0070C0"/>
                    </w:rPr>
                    <w:t>不低于</w:t>
                  </w:r>
                  <w:r>
                    <w:rPr>
                      <w:rFonts w:ascii="仿宋_GB2312" w:hAnsi="仿宋_GB2312" w:cs="仿宋_GB2312" w:eastAsia="仿宋_GB2312"/>
                      <w:sz w:val="24"/>
                      <w:color w:val="0070C0"/>
                    </w:rPr>
                    <w:t>25G，需满足2.3万用户需求，</w:t>
                  </w:r>
                  <w:r>
                    <w:rPr>
                      <w:rFonts w:ascii="仿宋_GB2312" w:hAnsi="仿宋_GB2312" w:cs="仿宋_GB2312" w:eastAsia="仿宋_GB2312"/>
                      <w:sz w:val="24"/>
                      <w:color w:val="5B9BD5"/>
                    </w:rPr>
                    <w:t>支持高清节目，支持并发量大于</w:t>
                  </w:r>
                  <w:r>
                    <w:rPr>
                      <w:rFonts w:ascii="仿宋_GB2312" w:hAnsi="仿宋_GB2312" w:cs="仿宋_GB2312" w:eastAsia="仿宋_GB2312"/>
                      <w:sz w:val="24"/>
                      <w:color w:val="5B9BD5"/>
                    </w:rPr>
                    <w:t>15000。互联网光纤链路1条1G。互联网光纤链路1条100M。</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2</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互联网光纤链路要求</w:t>
                  </w:r>
                </w:p>
              </w:tc>
              <w:tc>
                <w:tcPr>
                  <w:tcW w:type="dxa" w:w="172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互联网光纤链路带宽出口不低</w:t>
                  </w:r>
                  <w:r>
                    <w:rPr>
                      <w:rFonts w:ascii="仿宋_GB2312" w:hAnsi="仿宋_GB2312" w:cs="仿宋_GB2312" w:eastAsia="仿宋_GB2312"/>
                      <w:sz w:val="24"/>
                      <w:color w:val="5B9BD5"/>
                    </w:rPr>
                    <w:t>25G，满足2.3万用户需求，支持高清节目，支持并发量大于15000。若遇到重大收视活动，应临时调整出口带宽，确保终端站点收看流畅，不卡顿。</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3</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机房环境要求</w:t>
                  </w:r>
                </w:p>
              </w:tc>
              <w:tc>
                <w:tcPr>
                  <w:tcW w:type="dxa" w:w="172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空调系统采用水冷自然冷却和风冷自然冷却，智能新风系统。机房采用封闭式结构，采用专用恒温恒湿机组，机房稳定变化范围为</w:t>
                  </w:r>
                  <w:r>
                    <w:rPr>
                      <w:rFonts w:ascii="仿宋_GB2312" w:hAnsi="仿宋_GB2312" w:cs="仿宋_GB2312" w:eastAsia="仿宋_GB2312"/>
                      <w:sz w:val="24"/>
                      <w:color w:val="5B9BD5"/>
                    </w:rPr>
                    <w:t>21℃～25℃，湿度变化范围为40%～70%。三相供电，承诺供电率达到99.999%；不间断电源系统配置分为240V直流系统和UPS系统。</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4</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机房安全监控</w:t>
                  </w:r>
                </w:p>
              </w:tc>
              <w:tc>
                <w:tcPr>
                  <w:tcW w:type="dxa" w:w="172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需有门禁系统，视频监控、高灵敏的烟雾探测报警系统，恒温恒湿控制系统，防漏水处理系统。</w:t>
                  </w:r>
                </w:p>
              </w:tc>
            </w:tr>
            <w:tr>
              <w:tc>
                <w:tcPr>
                  <w:tcW w:type="dxa" w:w="254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陕西省党员干部现代远程教育平台网络服务项目托管设备清单</w:t>
                  </w:r>
                </w:p>
              </w:tc>
            </w:tr>
            <w:tr>
              <w:tc>
                <w:tcPr>
                  <w:tcW w:type="dxa" w:w="5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序</w:t>
                  </w:r>
                  <w:r>
                    <w:rPr>
                      <w:rFonts w:ascii="仿宋_GB2312" w:hAnsi="仿宋_GB2312" w:cs="仿宋_GB2312" w:eastAsia="仿宋_GB2312"/>
                      <w:sz w:val="24"/>
                      <w:color w:val="5B9BD5"/>
                    </w:rPr>
                    <w:t>号</w:t>
                  </w:r>
                </w:p>
              </w:tc>
              <w:tc>
                <w:tcPr>
                  <w:tcW w:type="dxa" w:w="6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产品名称</w:t>
                  </w:r>
                </w:p>
              </w:tc>
              <w:tc>
                <w:tcPr>
                  <w:tcW w:type="dxa" w:w="6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规格型号</w:t>
                  </w:r>
                </w:p>
              </w:tc>
              <w:tc>
                <w:tcPr>
                  <w:tcW w:type="dxa" w:w="79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数</w:t>
                  </w:r>
                  <w:r>
                    <w:rPr>
                      <w:rFonts w:ascii="仿宋_GB2312" w:hAnsi="仿宋_GB2312" w:cs="仿宋_GB2312" w:eastAsia="仿宋_GB2312"/>
                      <w:sz w:val="24"/>
                      <w:color w:val="5B9BD5"/>
                    </w:rPr>
                    <w:t xml:space="preserve">  </w:t>
                  </w:r>
                  <w:r>
                    <w:rPr>
                      <w:rFonts w:ascii="仿宋_GB2312" w:hAnsi="仿宋_GB2312" w:cs="仿宋_GB2312" w:eastAsia="仿宋_GB2312"/>
                      <w:sz w:val="24"/>
                      <w:color w:val="5B9BD5"/>
                    </w:rPr>
                    <w:t>量</w:t>
                  </w:r>
                </w:p>
              </w:tc>
            </w:tr>
            <w:tr>
              <w:tc>
                <w:tcPr>
                  <w:tcW w:type="dxa" w:w="5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磁盘阵列柜</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NetStoriSUM790L 磁盘阵列</w:t>
                  </w:r>
                </w:p>
              </w:tc>
              <w:tc>
                <w:tcPr>
                  <w:tcW w:type="dxa" w:w="7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2台</w:t>
                  </w:r>
                </w:p>
              </w:tc>
            </w:tr>
            <w:tr>
              <w:tc>
                <w:tcPr>
                  <w:tcW w:type="dxa" w:w="5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2</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UTM系统</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NF防火墙系统V6.0 （NSFOCUS NF V 6.0）</w:t>
                  </w:r>
                </w:p>
              </w:tc>
              <w:tc>
                <w:tcPr>
                  <w:tcW w:type="dxa" w:w="7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2套</w:t>
                  </w:r>
                </w:p>
              </w:tc>
            </w:tr>
            <w:tr>
              <w:tc>
                <w:tcPr>
                  <w:tcW w:type="dxa" w:w="5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3</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卫星接收机</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UMH160R卫星接收机</w:t>
                  </w:r>
                </w:p>
              </w:tc>
              <w:tc>
                <w:tcPr>
                  <w:tcW w:type="dxa" w:w="7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2台</w:t>
                  </w:r>
                </w:p>
              </w:tc>
            </w:tr>
            <w:tr>
              <w:tc>
                <w:tcPr>
                  <w:tcW w:type="dxa" w:w="5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4</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交换机</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S5110-28P-D</w:t>
                  </w:r>
                </w:p>
              </w:tc>
              <w:tc>
                <w:tcPr>
                  <w:tcW w:type="dxa" w:w="7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1台</w:t>
                  </w:r>
                </w:p>
              </w:tc>
            </w:tr>
            <w:tr>
              <w:tc>
                <w:tcPr>
                  <w:tcW w:type="dxa" w:w="5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5</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交换机</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LS-5500-52C-EI-D</w:t>
                  </w:r>
                </w:p>
              </w:tc>
              <w:tc>
                <w:tcPr>
                  <w:tcW w:type="dxa" w:w="7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2台</w:t>
                  </w:r>
                </w:p>
              </w:tc>
            </w:tr>
            <w:tr>
              <w:tc>
                <w:tcPr>
                  <w:tcW w:type="dxa" w:w="5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6</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光纤模块</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SFP-GE-SX-MM850-D</w:t>
                  </w:r>
                </w:p>
              </w:tc>
              <w:tc>
                <w:tcPr>
                  <w:tcW w:type="dxa" w:w="7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8块</w:t>
                  </w:r>
                </w:p>
              </w:tc>
            </w:tr>
            <w:tr>
              <w:tc>
                <w:tcPr>
                  <w:tcW w:type="dxa" w:w="5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7</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流媒体服务器</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曙光</w:t>
                  </w:r>
                  <w:r>
                    <w:rPr>
                      <w:rFonts w:ascii="仿宋_GB2312" w:hAnsi="仿宋_GB2312" w:cs="仿宋_GB2312" w:eastAsia="仿宋_GB2312"/>
                      <w:sz w:val="24"/>
                      <w:color w:val="5B9BD5"/>
                    </w:rPr>
                    <w:t>I620-G20</w:t>
                  </w:r>
                </w:p>
              </w:tc>
              <w:tc>
                <w:tcPr>
                  <w:tcW w:type="dxa" w:w="7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4台</w:t>
                  </w:r>
                </w:p>
              </w:tc>
            </w:tr>
            <w:tr>
              <w:tc>
                <w:tcPr>
                  <w:tcW w:type="dxa" w:w="5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8</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应用服务器</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曙光</w:t>
                  </w:r>
                  <w:r>
                    <w:rPr>
                      <w:rFonts w:ascii="仿宋_GB2312" w:hAnsi="仿宋_GB2312" w:cs="仿宋_GB2312" w:eastAsia="仿宋_GB2312"/>
                      <w:sz w:val="24"/>
                      <w:color w:val="5B9BD5"/>
                    </w:rPr>
                    <w:t>I620-G20</w:t>
                  </w:r>
                </w:p>
              </w:tc>
              <w:tc>
                <w:tcPr>
                  <w:tcW w:type="dxa" w:w="7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14台</w:t>
                  </w:r>
                </w:p>
              </w:tc>
            </w:tr>
            <w:tr>
              <w:tc>
                <w:tcPr>
                  <w:tcW w:type="dxa" w:w="5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9</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交换机</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H3CS5600</w:t>
                  </w:r>
                </w:p>
              </w:tc>
              <w:tc>
                <w:tcPr>
                  <w:tcW w:type="dxa" w:w="7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1台</w:t>
                  </w:r>
                </w:p>
              </w:tc>
            </w:tr>
            <w:tr>
              <w:tc>
                <w:tcPr>
                  <w:tcW w:type="dxa" w:w="5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10</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漏洞扫描系统</w:t>
                  </w:r>
                </w:p>
              </w:tc>
              <w:tc>
                <w:tcPr>
                  <w:tcW w:type="dxa" w:w="6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1套</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满足本项目服务需求的人员配置。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本项目验收由采购人有关部门进行验收，质量达到现行合格标准，符合国家、行业、地方规定以及招标文件规定标准要求。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合同签订后，达到使用要求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合同到期前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设备托管和网络使用期间，因设备托管机房断电或网络问题导致大面积（5%以上）终端站点不能登录平台、无法收看节目的，每出现1次，则扣除年服务费（合同款）的1%作为违约处罚。修复超过12小时，追加0.5%作为违约金。</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各投标人投标报价不得超过最高限价，否则按无效投标处理。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会计师事务所出具的完整的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投标人为向采购人提供相关服务的法人或其他组织；</w:t>
            </w:r>
          </w:p>
        </w:tc>
        <w:tc>
          <w:tcPr>
            <w:tcW w:type="dxa" w:w="1661"/>
          </w:tcPr>
          <w:p>
            <w:pPr>
              <w:pStyle w:val="null3"/>
            </w:pPr>
            <w:r>
              <w:rPr>
                <w:rFonts w:ascii="仿宋_GB2312" w:hAnsi="仿宋_GB2312" w:cs="仿宋_GB2312" w:eastAsia="仿宋_GB2312"/>
              </w:rPr>
              <w:t>投标人应提供的资格证明材料.docx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投标人应提供的资格证明材料.docx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投标人应提供的资格证明材料.docx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投标函 中小企业声明函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投标人应提供的资格证明材料.docx 服务内容及服务邀请应答表 投标函 中小企业声明函 残疾人福利性单位声明函 商务应答表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 或者最高限价；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 其他无效情形；</w:t>
            </w:r>
          </w:p>
        </w:tc>
        <w:tc>
          <w:tcPr>
            <w:tcW w:type="dxa" w:w="1661"/>
          </w:tcPr>
          <w:p>
            <w:pPr>
              <w:pStyle w:val="null3"/>
            </w:pPr>
            <w:r>
              <w:rPr>
                <w:rFonts w:ascii="仿宋_GB2312" w:hAnsi="仿宋_GB2312" w:cs="仿宋_GB2312" w:eastAsia="仿宋_GB2312"/>
              </w:rPr>
              <w:t>投标函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服务需求整体理解</w:t>
            </w:r>
          </w:p>
        </w:tc>
        <w:tc>
          <w:tcPr>
            <w:tcW w:type="dxa" w:w="2492"/>
          </w:tcPr>
          <w:p>
            <w:pPr>
              <w:pStyle w:val="null3"/>
            </w:pPr>
            <w:r>
              <w:rPr>
                <w:rFonts w:ascii="仿宋_GB2312" w:hAnsi="仿宋_GB2312" w:cs="仿宋_GB2312" w:eastAsia="仿宋_GB2312"/>
              </w:rPr>
              <w:t>根据投标人对本项目整体服务需求的理解程度、准确性进行评审： 对本项目服务内容了解全面完整、准确充分，对本项目的服务需求理解表述准确清楚得3.1-6分； 对本项目服务内容了解较为全面、充分，对本项目的服务需求理解表述较为准确清楚的得1.1-3分； 对本项目服务内容了解不全面，对本项目的服务需求理解表述不准确得0-1分；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服务需求整体理解.docx</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1.根据投标人针对“平台服务器托管及机柜租赁”提供的相关服务方案进行评审： 服务方案科学、合理、方案内容规范性和可操作性强，能达到采购人要求的运维服务标准的得3.1-6分； 服务方案较科学、合理、方案内容规范性稍有欠缺，但基本能达到采购人的运维服务标准得得1.1-3分； 服务方案简单，内容不具备操作性的得0-1分；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2.根据投标人针对“平台硬件部署环境要求”提供的相关服务方案进行评审： 服务方案科学、合理、方案内容规范性和可操作性强，能达到采购人要求的运维服务标准的得3.1-6分； 服务方案较科学、合理、方案内容规范性稍有欠缺，但基本能达到采购人的运维服务标准得得1.1-3分； 服务方案简单，内容不具备操作性的得0-1分；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3.根据投标人针对“互联网光纤链路要求”提供的相关服务方案进行评审： 服务方案科学、合理、方案内容规范性和可操作性强，能达到采购人要求的运维服务标准的得3.1-6分； 服务方案较科学、合理、方案内容规范性稍有欠缺，但基本能达到采购人的运维服务标准得得1.1-3分； 服务方案简单，内容不具备操作性的得0-1分；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4.根据投标人针对“设备安全”提供的相关服务方案进行评审： 服务方案科学、合理、方案内容规范性和可操作性强，能达到采购人要求的设备安全服务标准的得3.1-6分； 服务方案较科学、合理、方案内容规范性稍有欠缺，但基本能达到采购人的设备安全服务标准的得1.1-3分； 服务方案简单，内容不具备操作性的得0-1分；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5.根据投标人针对“网络安全”提供的相关服务方案进行评审： 服务方案科学、合理、方案内容规范性和可操作性强，能达到采购人要求的网络安全服务标准得3.1-6分； 服务方案较科学、合理、方案内容规范性稍有欠缺，但基本能达到采购人的网络安全标准得1.1-3分； 服务方案简单，内容不具备操作性得0-1分；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定期预防性检查及评估方案</w:t>
            </w:r>
          </w:p>
        </w:tc>
        <w:tc>
          <w:tcPr>
            <w:tcW w:type="dxa" w:w="2492"/>
          </w:tcPr>
          <w:p>
            <w:pPr>
              <w:pStyle w:val="null3"/>
            </w:pPr>
            <w:r>
              <w:rPr>
                <w:rFonts w:ascii="仿宋_GB2312" w:hAnsi="仿宋_GB2312" w:cs="仿宋_GB2312" w:eastAsia="仿宋_GB2312"/>
              </w:rPr>
              <w:t>6.根据投标人提供平台定期系统巡检检查及评估方案进行评审： 方案内容完善、科学、合理，内容贴合项目实际情况，完全符合采购人使用要求的的3.1-6分； 方案内容稍有欠缺，内容可行性欠缺，但能够保证采购人使用要求的得1.1-3分。 投标人提供的定期预防性检查方案较混乱，缺项、漏项可行性较差得0-1分；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定期预防性检查及评估方案.docx</w:t>
            </w:r>
          </w:p>
        </w:tc>
      </w:tr>
      <w:tr>
        <w:tc>
          <w:tcPr>
            <w:tcW w:type="dxa" w:w="831"/>
            <w:vMerge/>
          </w:tcPr>
          <w:p/>
        </w:tc>
        <w:tc>
          <w:tcPr>
            <w:tcW w:type="dxa" w:w="1661"/>
          </w:tcPr>
          <w:p>
            <w:pPr>
              <w:pStyle w:val="null3"/>
            </w:pPr>
            <w:r>
              <w:rPr>
                <w:rFonts w:ascii="仿宋_GB2312" w:hAnsi="仿宋_GB2312" w:cs="仿宋_GB2312" w:eastAsia="仿宋_GB2312"/>
              </w:rPr>
              <w:t>服务质量保证的管理措施方案</w:t>
            </w:r>
          </w:p>
        </w:tc>
        <w:tc>
          <w:tcPr>
            <w:tcW w:type="dxa" w:w="2492"/>
          </w:tcPr>
          <w:p>
            <w:pPr>
              <w:pStyle w:val="null3"/>
            </w:pPr>
            <w:r>
              <w:rPr>
                <w:rFonts w:ascii="仿宋_GB2312" w:hAnsi="仿宋_GB2312" w:cs="仿宋_GB2312" w:eastAsia="仿宋_GB2312"/>
              </w:rPr>
              <w:t>7.根据投标人针对本项目提供的整体服务质量保证的管理措施方案进行评审： 服务质量保证的管理措施方案完整，内容科学合理、满足项目要求，合理性、针对性强得3.1-6分； 服务质量保证的管理措施方案完整，内容基本可行，但合理性、针对性稍有欠缺的得1.1-3分； 服务质量保证的管理措施方案不完整，内容有部分缺漏，合理性、针对性较差的得0-1分； 未提供服务方案得0分。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服务质量保证的管理措施方案.docx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8.根据投标人提供运维服务过程中可能出现的突发事件、紧急故障、等方面制定应急方案（投标人在所提供方案中应充分考虑业务系统连续性，对本次项目的技术难点、风险进行分析，解决难题，满足系统要求的应急状况措施、有详细应急管理办法，保证运维服务工作有序推进，对技术难点、风险分析准确）进行评审： 应急方案详细可行，内容针对性强，能够确保采购人使用得 3.1-6分； 应急方案相对完整，内容具有一定的针对性，可实施性稍有欠缺，但基本能够保证采购人使用得1.1-3分； 应急方案简单粗略，内容表述不具体，无法完全保障采购人使用得0-1分；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9.投标人项目经理具备高级及以上职称证书（与项目专业领域相关）得5分； 中级职称证书（与项目专业领域相关）得3分，其余情况不得分。 评审依据：评审时以投标人提供的加盖投标人公章的拟派项目经理最高职称证书的扫描件或复印件为准，提供多个职称证明材料的，以最高职称材料为准，未提供的不得分。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项目经理.docx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10.投标人需承诺出现网络故障时，根据故障处理响应时间进行评审： 30分钟内到达现场得6分； 2小时内到达得3分； 4小时内得1分； 未提供不得分。 评审依据：提供承诺函并加盖单位公章，格式自拟。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服务团队能力</w:t>
            </w:r>
          </w:p>
        </w:tc>
        <w:tc>
          <w:tcPr>
            <w:tcW w:type="dxa" w:w="2492"/>
          </w:tcPr>
          <w:p>
            <w:pPr>
              <w:pStyle w:val="null3"/>
            </w:pPr>
            <w:r>
              <w:rPr>
                <w:rFonts w:ascii="仿宋_GB2312" w:hAnsi="仿宋_GB2312" w:cs="仿宋_GB2312" w:eastAsia="仿宋_GB2312"/>
              </w:rPr>
              <w:t>11.根据投标人针对本项目配备服务人员的分工及技术能力进行评审: 服务人员职责分工明确合理，技术能力完全满足本项目的实际需求得3.1-6分； 服务人员分工能够基本明确合理，技术能力基本满足本项目的实际需求得1.1-3分； 服务人员分工能够基本明确合理，技术能力无法满足本项目的实际需求得0-1分；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服务团队能力.docx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投标人应提供自2022年07月1日以来同类业绩，每提供一项有效业绩证明材料得3分，最高得9分。(注：以合同签订时间为准，投标人应在投标文件中提供业绩合同复印件或扫描件且加盖单位公章。)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投标报价采用综合评分法计算，即满足招标文件要求且经评审的投标报价的算数平均值为评审基准价。投标人的价格分统一按照下列公式计算：投标报价得分=(评审基准价/经评审的投标价)×20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详见附件：服务质量保证的管理措施方案.docx</w:t>
      </w:r>
    </w:p>
    <w:p>
      <w:pPr>
        <w:pStyle w:val="null3"/>
        <w:ind w:firstLine="960"/>
      </w:pPr>
      <w:r>
        <w:rPr>
          <w:rFonts w:ascii="仿宋_GB2312" w:hAnsi="仿宋_GB2312" w:cs="仿宋_GB2312" w:eastAsia="仿宋_GB2312"/>
        </w:rPr>
        <w:t>详见附件：服务需求整体理解.docx</w:t>
      </w:r>
    </w:p>
    <w:p>
      <w:pPr>
        <w:pStyle w:val="null3"/>
        <w:ind w:firstLine="960"/>
      </w:pPr>
      <w:r>
        <w:rPr>
          <w:rFonts w:ascii="仿宋_GB2312" w:hAnsi="仿宋_GB2312" w:cs="仿宋_GB2312" w:eastAsia="仿宋_GB2312"/>
        </w:rPr>
        <w:t>详见附件：服务团队能力.docx</w:t>
      </w:r>
    </w:p>
    <w:p>
      <w:pPr>
        <w:pStyle w:val="null3"/>
        <w:ind w:firstLine="960"/>
      </w:pPr>
      <w:r>
        <w:rPr>
          <w:rFonts w:ascii="仿宋_GB2312" w:hAnsi="仿宋_GB2312" w:cs="仿宋_GB2312" w:eastAsia="仿宋_GB2312"/>
        </w:rPr>
        <w:t>详见附件：定期预防性检查及评估方案.docx</w:t>
      </w:r>
    </w:p>
    <w:p>
      <w:pPr>
        <w:pStyle w:val="null3"/>
        <w:ind w:firstLine="960"/>
      </w:pPr>
      <w:r>
        <w:rPr>
          <w:rFonts w:ascii="仿宋_GB2312" w:hAnsi="仿宋_GB2312" w:cs="仿宋_GB2312" w:eastAsia="仿宋_GB2312"/>
        </w:rPr>
        <w:t>详见附件：项目经理.docx</w:t>
      </w:r>
    </w:p>
    <w:p>
      <w:pPr>
        <w:pStyle w:val="null3"/>
        <w:ind w:firstLine="960"/>
      </w:pPr>
      <w:r>
        <w:rPr>
          <w:rFonts w:ascii="仿宋_GB2312" w:hAnsi="仿宋_GB2312" w:cs="仿宋_GB2312" w:eastAsia="仿宋_GB2312"/>
        </w:rPr>
        <w:t>详见附件：投标人应提供的资格证明材料.docx</w:t>
      </w:r>
    </w:p>
    <w:p>
      <w:pPr>
        <w:pStyle w:val="null3"/>
        <w:ind w:firstLine="960"/>
      </w:pPr>
      <w:r>
        <w:rPr>
          <w:rFonts w:ascii="仿宋_GB2312" w:hAnsi="仿宋_GB2312" w:cs="仿宋_GB2312" w:eastAsia="仿宋_GB2312"/>
        </w:rPr>
        <w:t>详见附件：企业业绩.docx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详见附件：陕西省党员干部现代远程教育平台设备和网络安全稳定运行服务项目-服务合同.docx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