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版本号：【KRDL】K2-250606520250714001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陕西省党员干部现代远程教育平台系统运维服务项目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【KRDL】K2-2506065</w:t>
      </w:r>
      <w:r>
        <w:br/>
      </w:r>
      <w:r>
        <w:br/>
      </w:r>
      <w:r>
        <w:br/>
      </w:r>
    </w:p>
    <w:p>
      <w:pPr>
        <w:pStyle w:val="null3"/>
        <w:jc w:val="center"/>
        <w:outlineLvl w:val="2"/>
      </w:pPr>
      <w:r>
        <w:rPr>
          <w:rFonts w:ascii="仿宋_GB2312" w:hAnsi="仿宋_GB2312" w:cs="仿宋_GB2312" w:eastAsia="仿宋_GB2312"/>
          <w:sz w:val="28"/>
          <w:b/>
        </w:rPr>
        <w:t>省委组织部机关</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省委组织部机关</w:t>
      </w:r>
      <w:r>
        <w:rPr>
          <w:rFonts w:ascii="仿宋_GB2312" w:hAnsi="仿宋_GB2312" w:cs="仿宋_GB2312" w:eastAsia="仿宋_GB2312"/>
        </w:rPr>
        <w:t>委托，拟对</w:t>
      </w:r>
      <w:r>
        <w:rPr>
          <w:rFonts w:ascii="仿宋_GB2312" w:hAnsi="仿宋_GB2312" w:cs="仿宋_GB2312" w:eastAsia="仿宋_GB2312"/>
        </w:rPr>
        <w:t>陕西省党员干部现代远程教育平台系统运维服务项目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【KRDL】K2-2506065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陕西省党员干部现代远程教育平台系统运维服务项目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陕西省党员干部现代远程教育平台系统运维服务项目，拟对陕西省党员干部现代远程教育平台系统进行维保服务，具体服务内容及需求详见本项目招标文件。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1、主体资格：投标人为向采购人提供相关服务的法人或其他组织；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4、是否专门面向中小企业采购：本项目不专门面向中小企业采购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省委组织部机关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029-85588712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常博皓、刘昆、姚瑶、代光艳、王昭、张晨、王森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17791161616、15829336226、029-89581311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省委组织部机关</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省委组织部机关</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省委组织部机关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本项目验收由采购人有关部门进行验收，质量达到现行合格标准，符合国家、行业、地方规定以及招标文件规定标准要求。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联系人：常博皓、刘昆</w:t>
      </w:r>
    </w:p>
    <w:p>
      <w:pPr>
        <w:pStyle w:val="null3"/>
      </w:pPr>
      <w:r>
        <w:rPr>
          <w:rFonts w:ascii="仿宋_GB2312" w:hAnsi="仿宋_GB2312" w:cs="仿宋_GB2312" w:eastAsia="仿宋_GB2312"/>
        </w:rPr>
        <w:t>联系电话：17791161616、15829336226、029-89581311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陕西省党员干部现代远程教育平台系统运维服务项目，拟对陕西省党员干部现代远程教育平台系统进行运维服务，具体服务内容及需求详见本项目招标文件。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1,870,000.00</w:t>
      </w:r>
    </w:p>
    <w:p>
      <w:pPr>
        <w:pStyle w:val="null3"/>
      </w:pPr>
      <w:r>
        <w:rPr>
          <w:rFonts w:ascii="仿宋_GB2312" w:hAnsi="仿宋_GB2312" w:cs="仿宋_GB2312" w:eastAsia="仿宋_GB2312"/>
        </w:rPr>
        <w:t>采购包最高限价（元）: 1,870,000.00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
              <w:gridCol w:w="773"/>
              <w:gridCol w:w="742"/>
              <w:gridCol w:w="348"/>
              <w:gridCol w:w="487"/>
            </w:tblGrid>
            <w:tr>
              <w:tc>
                <w:tcPr>
                  <w:tcW w:type="dxa" w:w="255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A82E5"/>
                      <w:shd w:fill="FFFFFF" w:val="clear"/>
                    </w:rPr>
                    <w:t>陕西省党员干部现代远程教育平台系统运维服务要求</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一、运维服务内容</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序号</w:t>
                  </w:r>
                </w:p>
              </w:tc>
              <w:tc>
                <w:tcPr>
                  <w:tcW w:type="dxa" w:w="15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运维服务内容及要求</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单位</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数量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1</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远程教育平台系统技术支持和维护</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2</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全省专用定制终端站点的终端维护</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个</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22999</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陕西省党员干部现代远程教育平台（中国电信平台、中国移动平台、省级播控中心机房）技术维护及内容运维（不少于</w:t>
                  </w:r>
                  <w:r>
                    <w:rPr>
                      <w:rFonts w:ascii="仿宋_GB2312" w:hAnsi="仿宋_GB2312" w:cs="仿宋_GB2312" w:eastAsia="仿宋_GB2312"/>
                      <w:sz w:val="24"/>
                      <w:color w:val="5B9BD5"/>
                    </w:rPr>
                    <w:t>8名驻场工作人员）、省级卫星平台技术维护及内容运维维护、陕西先锋网、“陕西先锋”微信公众号、陕西先锋网手机客户端驻场技术支持。需运维服务的设备明细如下。</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项</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3.1</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磁盘阵列柜</w:t>
                  </w:r>
                  <w:r>
                    <w:rPr>
                      <w:rFonts w:ascii="仿宋_GB2312" w:hAnsi="仿宋_GB2312" w:cs="仿宋_GB2312" w:eastAsia="仿宋_GB2312"/>
                      <w:sz w:val="24"/>
                      <w:color w:val="5B9BD5"/>
                    </w:rPr>
                    <w:t>（</w:t>
                  </w:r>
                  <w:r>
                    <w:rPr>
                      <w:rFonts w:ascii="仿宋_GB2312" w:hAnsi="仿宋_GB2312" w:cs="仿宋_GB2312" w:eastAsia="仿宋_GB2312"/>
                      <w:sz w:val="24"/>
                      <w:color w:val="5B9BD5"/>
                    </w:rPr>
                    <w:t>NetStoriSUM790L磁盘阵列）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3.2</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卫星接收机</w:t>
                  </w:r>
                  <w:r>
                    <w:rPr>
                      <w:rFonts w:ascii="仿宋_GB2312" w:hAnsi="仿宋_GB2312" w:cs="仿宋_GB2312" w:eastAsia="仿宋_GB2312"/>
                      <w:sz w:val="24"/>
                      <w:color w:val="5B9BD5"/>
                    </w:rPr>
                    <w:t>(UMH160R)</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3.3</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交换机（</w:t>
                  </w:r>
                  <w:r>
                    <w:rPr>
                      <w:rFonts w:ascii="仿宋_GB2312" w:hAnsi="仿宋_GB2312" w:cs="仿宋_GB2312" w:eastAsia="仿宋_GB2312"/>
                      <w:sz w:val="24"/>
                      <w:color w:val="5B9BD5"/>
                    </w:rPr>
                    <w:t>S5110-28P-D）</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3.4</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交换机（</w:t>
                  </w:r>
                  <w:r>
                    <w:rPr>
                      <w:rFonts w:ascii="仿宋_GB2312" w:hAnsi="仿宋_GB2312" w:cs="仿宋_GB2312" w:eastAsia="仿宋_GB2312"/>
                      <w:sz w:val="24"/>
                      <w:color w:val="5B9BD5"/>
                    </w:rPr>
                    <w:t>LS-5500-52C-EI-D）</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3.5</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交换机（</w:t>
                  </w:r>
                  <w:r>
                    <w:rPr>
                      <w:rFonts w:ascii="仿宋_GB2312" w:hAnsi="仿宋_GB2312" w:cs="仿宋_GB2312" w:eastAsia="仿宋_GB2312"/>
                      <w:sz w:val="24"/>
                      <w:color w:val="5B9BD5"/>
                    </w:rPr>
                    <w:t>H3CS5600）</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3.6</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流媒体服务器（曙光</w:t>
                  </w:r>
                  <w:r>
                    <w:rPr>
                      <w:rFonts w:ascii="仿宋_GB2312" w:hAnsi="仿宋_GB2312" w:cs="仿宋_GB2312" w:eastAsia="仿宋_GB2312"/>
                      <w:sz w:val="24"/>
                      <w:color w:val="5B9BD5"/>
                    </w:rPr>
                    <w:t>I620-G20）</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4</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3.7</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应用服务器（曙光</w:t>
                  </w:r>
                  <w:r>
                    <w:rPr>
                      <w:rFonts w:ascii="仿宋_GB2312" w:hAnsi="仿宋_GB2312" w:cs="仿宋_GB2312" w:eastAsia="仿宋_GB2312"/>
                      <w:sz w:val="24"/>
                      <w:color w:val="5B9BD5"/>
                    </w:rPr>
                    <w:t>I620-G20）</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14</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3.8</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UTM系统（NF防火墙系统V6.0）</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套</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3.9</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光纤模块（</w:t>
                  </w:r>
                  <w:r>
                    <w:rPr>
                      <w:rFonts w:ascii="仿宋_GB2312" w:hAnsi="仿宋_GB2312" w:cs="仿宋_GB2312" w:eastAsia="仿宋_GB2312"/>
                      <w:sz w:val="24"/>
                      <w:color w:val="5B9BD5"/>
                    </w:rPr>
                    <w:t>SFP-GE-SX-MM850-D）</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块</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8</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3.10</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漏洞扫描系统</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套</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3.11</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骨干防火墙</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3.12</w:t>
                  </w:r>
                </w:p>
              </w:tc>
              <w:tc>
                <w:tcPr>
                  <w:tcW w:type="dxa" w:w="15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VGA切换器</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台</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二、运维服务要求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B9BD5"/>
                    </w:rPr>
                    <w:t>1</w:t>
                  </w:r>
                </w:p>
              </w:tc>
              <w:tc>
                <w:tcPr>
                  <w:tcW w:type="dxa" w:w="235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平台内容运维服务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1.1</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内容运维服务要求</w:t>
                  </w:r>
                </w:p>
              </w:tc>
              <w:tc>
                <w:tcPr>
                  <w:tcW w:type="dxa" w:w="157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确保平台内容及时更新，无播出事故发生。保证全国平台、省、市、县（市、区）级平台和直播频道无故障，出现故障时，</w:t>
                  </w:r>
                  <w:r>
                    <w:rPr>
                      <w:rFonts w:ascii="仿宋_GB2312" w:hAnsi="仿宋_GB2312" w:cs="仿宋_GB2312" w:eastAsia="仿宋_GB2312"/>
                      <w:sz w:val="24"/>
                      <w:color w:val="5B9BD5"/>
                    </w:rPr>
                    <w:t>7×24小时响应，故障维护时间不得超过1个工作日。保证节目传输清晰、不中断。并做好课件节目制作、分发、转码、检测、入库和上载平台等。</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1.2</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平台运维工作人员要求</w:t>
                  </w:r>
                </w:p>
              </w:tc>
              <w:tc>
                <w:tcPr>
                  <w:tcW w:type="dxa" w:w="15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主要负责全国和省、市级栏目编辑。平台图文栏目信息编辑、图文信息巡检、问题处理、栏目设计维护。直播频道信号巡检、技术支撑；管理系统巡检维护、技术支撑等。制作、分发全国和省、市制作的教学节目，并做好平台节目上载工作。对教学辅助网站（陕西先锋网）、</w:t>
                  </w:r>
                  <w:r>
                    <w:rPr>
                      <w:rFonts w:ascii="仿宋_GB2312" w:hAnsi="仿宋_GB2312" w:cs="仿宋_GB2312" w:eastAsia="仿宋_GB2312"/>
                      <w:sz w:val="24"/>
                      <w:color w:val="5B9BD5"/>
                    </w:rPr>
                    <w:t>“陕西先锋”微信公众号及陕西先锋网手机客户端有关功能开发和内容维护等相关工作。每天通过远程方式对系统软硬件进行一次巡检和故障分析，对存在的故障及时排除并做好登记，同时提供分析报告。每月一次实地巡检运营商（中国电信陕西云基地、中国移动陕西数据中心）硬件设备，对硬件设备进行故障排查，并做好登记；定期对各平台数据库进行监控、优化、修复和数据的备份工作；要确保管理系统数据更新及时、准确无误</w:t>
                  </w:r>
                  <w:r>
                    <w:rPr>
                      <w:rFonts w:ascii="仿宋_GB2312" w:hAnsi="仿宋_GB2312" w:cs="仿宋_GB2312" w:eastAsia="仿宋_GB2312"/>
                      <w:sz w:val="24"/>
                      <w:b/>
                      <w:color w:val="5B9BD5"/>
                    </w:rPr>
                    <w:t>。驻场服务工作人员不少于</w:t>
                  </w:r>
                  <w:r>
                    <w:rPr>
                      <w:rFonts w:ascii="仿宋_GB2312" w:hAnsi="仿宋_GB2312" w:cs="仿宋_GB2312" w:eastAsia="仿宋_GB2312"/>
                      <w:sz w:val="24"/>
                      <w:b/>
                      <w:color w:val="5B9BD5"/>
                    </w:rPr>
                    <w:t>8名</w:t>
                  </w:r>
                  <w:r>
                    <w:rPr>
                      <w:rFonts w:ascii="仿宋_GB2312" w:hAnsi="仿宋_GB2312" w:cs="仿宋_GB2312" w:eastAsia="仿宋_GB2312"/>
                      <w:sz w:val="24"/>
                      <w:b/>
                      <w:color w:val="5B9BD5"/>
                    </w:rPr>
                    <w:t>。</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r>
                    <w:rPr>
                      <w:rFonts w:ascii="仿宋_GB2312" w:hAnsi="仿宋_GB2312" w:cs="仿宋_GB2312" w:eastAsia="仿宋_GB2312"/>
                      <w:sz w:val="24"/>
                      <w:color w:val="5B9BD5"/>
                    </w:rPr>
                    <w:t>.3</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卫星平台运维要求</w:t>
                  </w:r>
                </w:p>
              </w:tc>
              <w:tc>
                <w:tcPr>
                  <w:tcW w:type="dxa" w:w="15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确保硬件设备和软件系统安全正常运行，及时对故障设备进行维修与更换，保证直播频道流畅、不卡顿。出现故障时，</w:t>
                  </w:r>
                  <w:r>
                    <w:rPr>
                      <w:rFonts w:ascii="仿宋_GB2312" w:hAnsi="仿宋_GB2312" w:cs="仿宋_GB2312" w:eastAsia="仿宋_GB2312"/>
                      <w:sz w:val="24"/>
                      <w:color w:val="5B9BD5"/>
                    </w:rPr>
                    <w:t>7×24小时响应，故障维护时间不得超过1个工作日。</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r>
                    <w:rPr>
                      <w:rFonts w:ascii="仿宋_GB2312" w:hAnsi="仿宋_GB2312" w:cs="仿宋_GB2312" w:eastAsia="仿宋_GB2312"/>
                      <w:sz w:val="24"/>
                      <w:color w:val="5B9BD5"/>
                    </w:rPr>
                    <w:t>.4</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平台软件要求</w:t>
                  </w:r>
                </w:p>
              </w:tc>
              <w:tc>
                <w:tcPr>
                  <w:tcW w:type="dxa" w:w="15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w:t>
                  </w:r>
                  <w:r>
                    <w:rPr>
                      <w:rFonts w:ascii="仿宋_GB2312" w:hAnsi="仿宋_GB2312" w:cs="仿宋_GB2312" w:eastAsia="仿宋_GB2312"/>
                      <w:sz w:val="24"/>
                      <w:color w:val="5B9BD5"/>
                    </w:rPr>
                    <w:t>1）满足运维平台所有EPG的定制改版和功能开发。</w:t>
                  </w:r>
                </w:p>
                <w:p>
                  <w:pPr>
                    <w:pStyle w:val="null3"/>
                    <w:jc w:val="both"/>
                  </w:pPr>
                  <w:r>
                    <w:rPr>
                      <w:rFonts w:ascii="仿宋_GB2312" w:hAnsi="仿宋_GB2312" w:cs="仿宋_GB2312" w:eastAsia="仿宋_GB2312"/>
                      <w:sz w:val="24"/>
                      <w:color w:val="5B9BD5"/>
                    </w:rPr>
                    <w:t>（</w:t>
                  </w:r>
                  <w:r>
                    <w:rPr>
                      <w:rFonts w:ascii="仿宋_GB2312" w:hAnsi="仿宋_GB2312" w:cs="仿宋_GB2312" w:eastAsia="仿宋_GB2312"/>
                      <w:sz w:val="24"/>
                      <w:color w:val="5B9BD5"/>
                    </w:rPr>
                    <w:t>2）确保软件安全稳定运行，定期巡检，发现漏洞及时修复。确保软件不受病毒感染。根据采购人的需求，对软件功能进行升级。</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1</w:t>
                  </w:r>
                  <w:r>
                    <w:rPr>
                      <w:rFonts w:ascii="仿宋_GB2312" w:hAnsi="仿宋_GB2312" w:cs="仿宋_GB2312" w:eastAsia="仿宋_GB2312"/>
                      <w:sz w:val="24"/>
                      <w:color w:val="5B9BD5"/>
                    </w:rPr>
                    <w:t>.5</w:t>
                  </w: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rPr>
                    <w:t>终端机顶盒运维要求</w:t>
                  </w:r>
                </w:p>
              </w:tc>
              <w:tc>
                <w:tcPr>
                  <w:tcW w:type="dxa" w:w="15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rPr>
                    <w:t>终端站点是远程教育平台系统的重要组成部分，要加强维护，确保其正常运行。终端站点专用定制设备出现故障时，维修周期不得超过</w:t>
                  </w:r>
                  <w:r>
                    <w:rPr>
                      <w:rFonts w:ascii="仿宋_GB2312" w:hAnsi="仿宋_GB2312" w:cs="仿宋_GB2312" w:eastAsia="仿宋_GB2312"/>
                      <w:sz w:val="24"/>
                      <w:color w:val="5B9BD5"/>
                    </w:rPr>
                    <w:t>5个工作日，保证终端站点收看节目流畅、不卡顿，并设立故障报修热线电话。专用定制终端设备保修期内免费维修。</w:t>
                  </w:r>
                </w:p>
                <w:p>
                  <w:pPr>
                    <w:pStyle w:val="null3"/>
                    <w:jc w:val="both"/>
                  </w:pPr>
                  <w:r>
                    <w:rPr>
                      <w:rFonts w:ascii="仿宋_GB2312" w:hAnsi="仿宋_GB2312" w:cs="仿宋_GB2312" w:eastAsia="仿宋_GB2312"/>
                      <w:sz w:val="24"/>
                      <w:color w:val="5B9BD5"/>
                    </w:rPr>
                    <w:t>说明：文中提到的平台运维是指省级播控中心平台、陕西先锋网、</w:t>
                  </w:r>
                  <w:r>
                    <w:rPr>
                      <w:rFonts w:ascii="仿宋_GB2312" w:hAnsi="仿宋_GB2312" w:cs="仿宋_GB2312" w:eastAsia="仿宋_GB2312"/>
                      <w:sz w:val="24"/>
                      <w:color w:val="5B9BD5"/>
                    </w:rPr>
                    <w:t>“陕西先锋”微信公众号和陕西先锋手机客户端。</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服务方应具备较强的运维服务能力，具有专业的服务团队。驻场服务工作人员不少于8名。</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本项目验收由采购人有关部门进行验收，质量达到现行合格标准，符合国家、行业、地方规定以及招标文件规定标准要求。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合同签订后，达到使用要求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间，因平台故障问题导致大面积（5%以上）终端站点不能登录平台、无法收看节目的；或者由于软件漏洞发生安全事故，造成不良影响的，每出现1次事故，扣除远程教育平台年运行维护费（合同款）的1%作为违约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各投标人投标报价不得超过最高限价，否则按无效投标处理。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投标人为向采购人提供相关服务的法人或其他组织；</w:t>
            </w:r>
          </w:p>
        </w:tc>
        <w:tc>
          <w:tcPr>
            <w:tcW w:type="dxa" w:w="1661"/>
          </w:tcPr>
          <w:p>
            <w:pPr>
              <w:pStyle w:val="null3"/>
            </w:pPr>
            <w:r>
              <w:rPr>
                <w:rFonts w:ascii="仿宋_GB2312" w:hAnsi="仿宋_GB2312" w:cs="仿宋_GB2312" w:eastAsia="仿宋_GB2312"/>
              </w:rPr>
              <w:t>投标人应提供的资格证明材料.docx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投标人应提供的资格证明材料.docx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商务应答表</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投标人应提供的资格证明材料.docx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 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投标人应提供的资格证明材料.docx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服务需求整体理解</w:t>
            </w:r>
          </w:p>
        </w:tc>
        <w:tc>
          <w:tcPr>
            <w:tcW w:type="dxa" w:w="2492"/>
          </w:tcPr>
          <w:p>
            <w:pPr>
              <w:pStyle w:val="null3"/>
            </w:pPr>
            <w:r>
              <w:rPr>
                <w:rFonts w:ascii="仿宋_GB2312" w:hAnsi="仿宋_GB2312" w:cs="仿宋_GB2312" w:eastAsia="仿宋_GB2312"/>
              </w:rPr>
              <w:t>根据投标人对本项目整体服务需求的理解程度、准确性进行评审： 对本项目服务内容了解全面完整、准确充分，对本项目的服务需求理解表述准确清楚得3.1-6分； 对本项目服务内容了解较为全面、充分，对本项目的服务需求理解表述较为准确清楚的得1.1-3分； 对本项目服务内容了解不全面，对本项目的服务需求理解表述不准确得0-1分；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服务需求整体理解.docx</w:t>
            </w:r>
          </w:p>
        </w:tc>
      </w:tr>
      <w:tr>
        <w:tc>
          <w:tcPr>
            <w:tcW w:type="dxa" w:w="831"/>
            <w:vMerge/>
          </w:tcPr>
          <w:p/>
        </w:tc>
        <w:tc>
          <w:tcPr>
            <w:tcW w:type="dxa" w:w="1661"/>
          </w:tcPr>
          <w:p>
            <w:pPr>
              <w:pStyle w:val="null3"/>
            </w:pPr>
            <w:r>
              <w:rPr>
                <w:rFonts w:ascii="仿宋_GB2312" w:hAnsi="仿宋_GB2312" w:cs="仿宋_GB2312" w:eastAsia="仿宋_GB2312"/>
              </w:rPr>
              <w:t>总体运维服务方案</w:t>
            </w:r>
          </w:p>
        </w:tc>
        <w:tc>
          <w:tcPr>
            <w:tcW w:type="dxa" w:w="2492"/>
          </w:tcPr>
          <w:p>
            <w:pPr>
              <w:pStyle w:val="null3"/>
            </w:pPr>
            <w:r>
              <w:rPr>
                <w:rFonts w:ascii="仿宋_GB2312" w:hAnsi="仿宋_GB2312" w:cs="仿宋_GB2312" w:eastAsia="仿宋_GB2312"/>
              </w:rPr>
              <w:t>1.根据投标人针对远程教育平台系统总体运维服务方案进行评审： 服务方案科学、合理、方案内容规范性和可操作性强，能达到采购人要求的运维服务标准的得3.1-6分；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总体运维服务方案.docx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终端维护方案</w:t>
            </w:r>
          </w:p>
        </w:tc>
        <w:tc>
          <w:tcPr>
            <w:tcW w:type="dxa" w:w="2492"/>
          </w:tcPr>
          <w:p>
            <w:pPr>
              <w:pStyle w:val="null3"/>
            </w:pPr>
            <w:r>
              <w:rPr>
                <w:rFonts w:ascii="仿宋_GB2312" w:hAnsi="仿宋_GB2312" w:cs="仿宋_GB2312" w:eastAsia="仿宋_GB2312"/>
              </w:rPr>
              <w:t>2.根据投标人针对全省专用定制终端站点的终端维护方案（数量22999个）进行评审： 服务方案科学、合理、方案内容规范性和可操作性强，能达到采购人要求的运维服务标准的得3.1-6分；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终端维护方案.docx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功能开发服务方案</w:t>
            </w:r>
          </w:p>
        </w:tc>
        <w:tc>
          <w:tcPr>
            <w:tcW w:type="dxa" w:w="2492"/>
          </w:tcPr>
          <w:p>
            <w:pPr>
              <w:pStyle w:val="null3"/>
            </w:pPr>
            <w:r>
              <w:rPr>
                <w:rFonts w:ascii="仿宋_GB2312" w:hAnsi="仿宋_GB2312" w:cs="仿宋_GB2312" w:eastAsia="仿宋_GB2312"/>
              </w:rPr>
              <w:t>3.根据投标人针对“陕西省党员干部现代远程教育平台系统”满足运维平台所有EPG的订制改版和功能开发相关服务方案进行评审： 服务方案科学合理、方案内容规范性强、技术细节，明确，能达到采购人要求的运维服务标准的得3.1-6分； 服务方案较科学合理、方案内容规范性、技术细节稍有欠缺，但基本能达到采购人的运维服务标准得得1.1-3分；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功能开发服务方案.docx</w:t>
            </w:r>
          </w:p>
        </w:tc>
      </w:tr>
      <w:tr>
        <w:tc>
          <w:tcPr>
            <w:tcW w:type="dxa" w:w="831"/>
            <w:vMerge/>
          </w:tcPr>
          <w:p/>
        </w:tc>
        <w:tc>
          <w:tcPr>
            <w:tcW w:type="dxa" w:w="1661"/>
          </w:tcPr>
          <w:p>
            <w:pPr>
              <w:pStyle w:val="null3"/>
            </w:pPr>
            <w:r>
              <w:rPr>
                <w:rFonts w:ascii="仿宋_GB2312" w:hAnsi="仿宋_GB2312" w:cs="仿宋_GB2312" w:eastAsia="仿宋_GB2312"/>
              </w:rPr>
              <w:t>教育平台运维方案1</w:t>
            </w:r>
          </w:p>
        </w:tc>
        <w:tc>
          <w:tcPr>
            <w:tcW w:type="dxa" w:w="2492"/>
          </w:tcPr>
          <w:p>
            <w:pPr>
              <w:pStyle w:val="null3"/>
            </w:pPr>
            <w:r>
              <w:rPr>
                <w:rFonts w:ascii="仿宋_GB2312" w:hAnsi="仿宋_GB2312" w:cs="仿宋_GB2312" w:eastAsia="仿宋_GB2312"/>
              </w:rPr>
              <w:t>4.根据“陕西省党员干部现代远程教育平台”（中国电信平台、中国移动平台、省级播控中心机房）技术维护及内容运维方案进行评审： 方案内容全面具体，服务质量保障措施强，充分满足技术维护及内容运维要求，可实施性强，得3.1～6分； 方案内容全面，基本满足技术维护及内容运维工作的需求，可实施性一般，得1.1～3分； 提供方案内容不全面，服务质量保障措施较差，可实施性差，得0-1分；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教育平台运维方案.docx</w:t>
            </w:r>
          </w:p>
        </w:tc>
      </w:tr>
      <w:tr>
        <w:tc>
          <w:tcPr>
            <w:tcW w:type="dxa" w:w="831"/>
            <w:vMerge/>
          </w:tcPr>
          <w:p/>
        </w:tc>
        <w:tc>
          <w:tcPr>
            <w:tcW w:type="dxa" w:w="1661"/>
          </w:tcPr>
          <w:p>
            <w:pPr>
              <w:pStyle w:val="null3"/>
            </w:pPr>
            <w:r>
              <w:rPr>
                <w:rFonts w:ascii="仿宋_GB2312" w:hAnsi="仿宋_GB2312" w:cs="仿宋_GB2312" w:eastAsia="仿宋_GB2312"/>
              </w:rPr>
              <w:t>教育平台运维方案2</w:t>
            </w:r>
          </w:p>
        </w:tc>
        <w:tc>
          <w:tcPr>
            <w:tcW w:type="dxa" w:w="2492"/>
          </w:tcPr>
          <w:p>
            <w:pPr>
              <w:pStyle w:val="null3"/>
            </w:pPr>
            <w:r>
              <w:rPr>
                <w:rFonts w:ascii="仿宋_GB2312" w:hAnsi="仿宋_GB2312" w:cs="仿宋_GB2312" w:eastAsia="仿宋_GB2312"/>
              </w:rPr>
              <w:t>5.根据投标人针对教学辅助网站(陕西先锋网)“陕西先锋”微信公众号及陕西先锋网手机客户端有关功能开发和内容维护等相关工作内容，进行评审： 服务方案科学合理、方案内容规范性强、技术细节，明确，能达到采购人要求的运维服务标准的得3.1-6分； 服务方案较科学合理、方案内容规范性、技术细节稍有欠缺，但基本能达到采购人的运维服务标准得得1.1-3分；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教育平台运维方案.docx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6.投标人承诺满足每天通过远程方式对系统软硬件进行一次巡检和故障分析、每月一次实地巡检得3分； 未提供承诺的得0分。 评审依据：提供承诺函并加盖单位公章，格式自拟。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承诺满足每天通过远程方式对系统软硬件进行一次巡检和故障分析、每月一次实地巡检.docx</w:t>
            </w:r>
          </w:p>
        </w:tc>
      </w:tr>
      <w:tr>
        <w:tc>
          <w:tcPr>
            <w:tcW w:type="dxa" w:w="831"/>
            <w:vMerge/>
          </w:tcPr>
          <w:p/>
        </w:tc>
        <w:tc>
          <w:tcPr>
            <w:tcW w:type="dxa" w:w="1661"/>
          </w:tcPr>
          <w:p>
            <w:pPr>
              <w:pStyle w:val="null3"/>
            </w:pPr>
            <w:r>
              <w:rPr>
                <w:rFonts w:ascii="仿宋_GB2312" w:hAnsi="仿宋_GB2312" w:cs="仿宋_GB2312" w:eastAsia="仿宋_GB2312"/>
              </w:rPr>
              <w:t>现场故障维修服务响应时间及在线服务响应时间服务承诺函</w:t>
            </w:r>
          </w:p>
        </w:tc>
        <w:tc>
          <w:tcPr>
            <w:tcW w:type="dxa" w:w="2492"/>
          </w:tcPr>
          <w:p>
            <w:pPr>
              <w:pStyle w:val="null3"/>
            </w:pPr>
            <w:r>
              <w:rPr>
                <w:rFonts w:ascii="仿宋_GB2312" w:hAnsi="仿宋_GB2312" w:cs="仿宋_GB2312" w:eastAsia="仿宋_GB2312"/>
              </w:rPr>
              <w:t>7.投标人承诺现场出现故障时维修服务响应时间满足7×24小时响应，故障维护时间不得超过1个工作日的得3分； 未提供承诺的得0分。 评审依据：投标人应提供承诺函，并加盖单位公章，格式自拟。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现场故障维修服务响应时间及在线服务响应时间服务承诺函.docx</w:t>
            </w:r>
          </w:p>
        </w:tc>
      </w:tr>
      <w:tr>
        <w:tc>
          <w:tcPr>
            <w:tcW w:type="dxa" w:w="831"/>
            <w:vMerge/>
          </w:tcPr>
          <w:p/>
        </w:tc>
        <w:tc>
          <w:tcPr>
            <w:tcW w:type="dxa" w:w="1661"/>
          </w:tcPr>
          <w:p>
            <w:pPr>
              <w:pStyle w:val="null3"/>
            </w:pPr>
            <w:r>
              <w:rPr>
                <w:rFonts w:ascii="仿宋_GB2312" w:hAnsi="仿宋_GB2312" w:cs="仿宋_GB2312" w:eastAsia="仿宋_GB2312"/>
              </w:rPr>
              <w:t>现场故障维修服务响应时间及在线服务响应时间服务承诺函</w:t>
            </w:r>
          </w:p>
        </w:tc>
        <w:tc>
          <w:tcPr>
            <w:tcW w:type="dxa" w:w="2492"/>
          </w:tcPr>
          <w:p>
            <w:pPr>
              <w:pStyle w:val="null3"/>
            </w:pPr>
            <w:r>
              <w:rPr>
                <w:rFonts w:ascii="仿宋_GB2312" w:hAnsi="仿宋_GB2312" w:cs="仿宋_GB2312" w:eastAsia="仿宋_GB2312"/>
              </w:rPr>
              <w:t>8.投标人提供终端站点专用定制设备出现故障时，维修周期不得超过5个工作日，保证终端站点收看节目流畅、不卡顿，并设立故障报修热线电话，在线工程师接到电话后≤15分钟内做出电话响应，专用定制终端设备保修期内免费维修的承诺得3分； 未提供承诺的得0分。 评审依据：提供服务承诺函并加盖单位公章，格式自拟。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现场故障维修服务响应时间及在线服务响应时间服务承诺函.docx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9.根据投标人针对本项目提供的机密内容提供保密承诺得5分。 未提供承诺的得0分。 评审依据：提供承诺函并加盖单位公章,格式自拟。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机密内容提供保密承诺.docx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10.根据投标人项目经理具备高级及以上职称证书（与项目专业领域相关）得5分； 中级职称证书（与项目专业领域相关）得3分，其余情况不得分。 评审依据：评审时以投标人提供的加盖投标人公章的拟派项目经理最高职称证书的扫描件或复印件为准，提供多个职称证明材料的，以最高职称材料为准，未提供的不得分。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驻场人员</w:t>
            </w:r>
          </w:p>
        </w:tc>
        <w:tc>
          <w:tcPr>
            <w:tcW w:type="dxa" w:w="2492"/>
          </w:tcPr>
          <w:p>
            <w:pPr>
              <w:pStyle w:val="null3"/>
            </w:pPr>
            <w:r>
              <w:rPr>
                <w:rFonts w:ascii="仿宋_GB2312" w:hAnsi="仿宋_GB2312" w:cs="仿宋_GB2312" w:eastAsia="仿宋_GB2312"/>
              </w:rPr>
              <w:t>11.根据投标人针对本项目配备不少于8人的驻场人员分工及技术支持进行评审： 驻场人员职责分工明确，技术细节完全满足本项目的实际需求得3.1-5分； 驻场人员分工能够基本明确，技术细节基本满足本项目的实际需求得1.1-3分； 驻场人员分工不明确技术细节无法满足本项目的实际需求得0-1分；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驻场人员.docx</w:t>
            </w:r>
          </w:p>
        </w:tc>
      </w:tr>
      <w:tr>
        <w:tc>
          <w:tcPr>
            <w:tcW w:type="dxa" w:w="831"/>
            <w:vMerge/>
          </w:tcPr>
          <w:p/>
        </w:tc>
        <w:tc>
          <w:tcPr>
            <w:tcW w:type="dxa" w:w="1661"/>
          </w:tcPr>
          <w:p>
            <w:pPr>
              <w:pStyle w:val="null3"/>
            </w:pPr>
            <w:r>
              <w:rPr>
                <w:rFonts w:ascii="仿宋_GB2312" w:hAnsi="仿宋_GB2312" w:cs="仿宋_GB2312" w:eastAsia="仿宋_GB2312"/>
              </w:rPr>
              <w:t>定期预防性检查及评估方案</w:t>
            </w:r>
          </w:p>
        </w:tc>
        <w:tc>
          <w:tcPr>
            <w:tcW w:type="dxa" w:w="2492"/>
          </w:tcPr>
          <w:p>
            <w:pPr>
              <w:pStyle w:val="null3"/>
            </w:pPr>
            <w:r>
              <w:rPr>
                <w:rFonts w:ascii="仿宋_GB2312" w:hAnsi="仿宋_GB2312" w:cs="仿宋_GB2312" w:eastAsia="仿宋_GB2312"/>
              </w:rPr>
              <w:t>12.根据投标人提供平台定期预防性检查及评估方案进行评审： 方案内容完善、科学、合理，内容贴合项目实际情况，完全符合采购人使用要求的的3.1-5分； 方案内容稍有欠缺，内容可行性欠缺，但能够保证采购人使用要求的得1.1-3分。 投标人提供的定期预防性检查方案较混乱，缺项、漏项可行性较差得0-1分；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定期预防性检查及评估方案.docx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13.根据投标人提供运维服务过程中可能出现的突发事件、紧急故障、等方面制定应急方案（投标人在所提供方案中应充分考虑业务系统连续性，对本次项目的技术难点、风险进行分析，解决难题，满足系统要求的应急状况措施、有详细应急管理办法，保证运维服务工作有序推进，对技术难点、风险分析准确）进行评审： 应急方案详细可行，内容针对性强，能够确保采购人使用得 3.1-6分； 应急方案相对完整，内容具有一定的针对性，可实施性稍有欠缺，但基本能够保证采购人使用得1.1-3分； 应急方案简单粗略，内容表述不具体，无法完全保障采购人使用得0-1分；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服务质量保证的管理措施方案</w:t>
            </w:r>
          </w:p>
        </w:tc>
        <w:tc>
          <w:tcPr>
            <w:tcW w:type="dxa" w:w="2492"/>
          </w:tcPr>
          <w:p>
            <w:pPr>
              <w:pStyle w:val="null3"/>
            </w:pPr>
            <w:r>
              <w:rPr>
                <w:rFonts w:ascii="仿宋_GB2312" w:hAnsi="仿宋_GB2312" w:cs="仿宋_GB2312" w:eastAsia="仿宋_GB2312"/>
              </w:rPr>
              <w:t>14.根据投标人针对本项目提供的整体服务质量保证的管理措施方案进行评审： 服务质量保证的管理措施方案完整，内容科学合理、满足项目要求，合理性、针对性强得3.1-5分； 服务质量保证的管理措施方案完整，内容基本可行，但合理性、针对性稍有欠缺的得1.1-3分； 服务质量保证的管理措施方案不完整，内容有部分缺漏，合理性、针对性较差的得0-1分；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服务质量保证的管理措施方案.docx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投标人应提供自2022年07月1日以来同类业绩，每提供一项有效业绩证明材料得3分，最高得9分。(注：以合同签订时间为准，投标人应在投标文件中提供业绩合同复印件或扫描件且加盖单位公章。)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投标报价采用综合评分法计算，即满足招标文件要求且经评审的投标报价的算数平均值为评审基准价。投标人的价格分统一按照下列公式计算：投标报价得分=(评审基准价/经评审的投标价)×15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详见附件：投标人应提供的资格证明材料.docx</w:t>
      </w:r>
    </w:p>
    <w:p>
      <w:pPr>
        <w:pStyle w:val="null3"/>
        <w:ind w:firstLine="960"/>
      </w:pPr>
      <w:r>
        <w:rPr>
          <w:rFonts w:ascii="仿宋_GB2312" w:hAnsi="仿宋_GB2312" w:cs="仿宋_GB2312" w:eastAsia="仿宋_GB2312"/>
        </w:rPr>
        <w:t>详见附件：承诺满足每天通过远程方式对系统软硬件进行一次巡检和故障分析、每月一次实地巡检.docx</w:t>
      </w:r>
    </w:p>
    <w:p>
      <w:pPr>
        <w:pStyle w:val="null3"/>
        <w:ind w:firstLine="960"/>
      </w:pPr>
      <w:r>
        <w:rPr>
          <w:rFonts w:ascii="仿宋_GB2312" w:hAnsi="仿宋_GB2312" w:cs="仿宋_GB2312" w:eastAsia="仿宋_GB2312"/>
        </w:rPr>
        <w:t>详见附件：定期预防性检查及评估方案.docx</w:t>
      </w:r>
    </w:p>
    <w:p>
      <w:pPr>
        <w:pStyle w:val="null3"/>
        <w:ind w:firstLine="960"/>
      </w:pPr>
      <w:r>
        <w:rPr>
          <w:rFonts w:ascii="仿宋_GB2312" w:hAnsi="仿宋_GB2312" w:cs="仿宋_GB2312" w:eastAsia="仿宋_GB2312"/>
        </w:rPr>
        <w:t>详见附件：服务需求整体理解.docx</w:t>
      </w:r>
    </w:p>
    <w:p>
      <w:pPr>
        <w:pStyle w:val="null3"/>
        <w:ind w:firstLine="960"/>
      </w:pPr>
      <w:r>
        <w:rPr>
          <w:rFonts w:ascii="仿宋_GB2312" w:hAnsi="仿宋_GB2312" w:cs="仿宋_GB2312" w:eastAsia="仿宋_GB2312"/>
        </w:rPr>
        <w:t>详见附件：服务质量保证的管理措施方案.docx</w:t>
      </w:r>
    </w:p>
    <w:p>
      <w:pPr>
        <w:pStyle w:val="null3"/>
        <w:ind w:firstLine="960"/>
      </w:pPr>
      <w:r>
        <w:rPr>
          <w:rFonts w:ascii="仿宋_GB2312" w:hAnsi="仿宋_GB2312" w:cs="仿宋_GB2312" w:eastAsia="仿宋_GB2312"/>
        </w:rPr>
        <w:t>详见附件：功能开发服务方案.docx</w:t>
      </w:r>
    </w:p>
    <w:p>
      <w:pPr>
        <w:pStyle w:val="null3"/>
        <w:ind w:firstLine="960"/>
      </w:pPr>
      <w:r>
        <w:rPr>
          <w:rFonts w:ascii="仿宋_GB2312" w:hAnsi="仿宋_GB2312" w:cs="仿宋_GB2312" w:eastAsia="仿宋_GB2312"/>
        </w:rPr>
        <w:t>详见附件：机密内容提供保密承诺.docx</w:t>
      </w:r>
    </w:p>
    <w:p>
      <w:pPr>
        <w:pStyle w:val="null3"/>
        <w:ind w:firstLine="960"/>
      </w:pPr>
      <w:r>
        <w:rPr>
          <w:rFonts w:ascii="仿宋_GB2312" w:hAnsi="仿宋_GB2312" w:cs="仿宋_GB2312" w:eastAsia="仿宋_GB2312"/>
        </w:rPr>
        <w:t>详见附件：教育平台运维方案.docx</w:t>
      </w:r>
    </w:p>
    <w:p>
      <w:pPr>
        <w:pStyle w:val="null3"/>
        <w:ind w:firstLine="960"/>
      </w:pPr>
      <w:r>
        <w:rPr>
          <w:rFonts w:ascii="仿宋_GB2312" w:hAnsi="仿宋_GB2312" w:cs="仿宋_GB2312" w:eastAsia="仿宋_GB2312"/>
        </w:rPr>
        <w:t>详见附件：现场故障维修服务响应时间及在线服务响应时间服务承诺函.docx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详见附件：终端维护方案.docx</w:t>
      </w:r>
    </w:p>
    <w:p>
      <w:pPr>
        <w:pStyle w:val="null3"/>
        <w:ind w:firstLine="960"/>
      </w:pPr>
      <w:r>
        <w:rPr>
          <w:rFonts w:ascii="仿宋_GB2312" w:hAnsi="仿宋_GB2312" w:cs="仿宋_GB2312" w:eastAsia="仿宋_GB2312"/>
        </w:rPr>
        <w:t>详见附件：驻场人员.docx</w:t>
      </w:r>
    </w:p>
    <w:p>
      <w:pPr>
        <w:pStyle w:val="null3"/>
        <w:ind w:firstLine="960"/>
      </w:pPr>
      <w:r>
        <w:rPr>
          <w:rFonts w:ascii="仿宋_GB2312" w:hAnsi="仿宋_GB2312" w:cs="仿宋_GB2312" w:eastAsia="仿宋_GB2312"/>
        </w:rPr>
        <w:t>详见附件：总体运维服务方案.docx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详见附件：陕西省党员干部现代远程教育平台系统运维服务项目-服务合同.docx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