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版本号：【KRDL】K3—250714420250714001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宿舍楼学生社区标准化建设项目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【KRDL】K3—2507144</w:t>
      </w:r>
      <w:r>
        <w:br/>
      </w:r>
      <w:r>
        <w:br/>
      </w:r>
      <w:r>
        <w:br/>
      </w:r>
    </w:p>
    <w:p>
      <w:pPr>
        <w:pStyle w:val="null3"/>
        <w:jc w:val="center"/>
        <w:outlineLvl w:val="2"/>
      </w:pPr>
      <w:r>
        <w:rPr>
          <w:rFonts w:ascii="仿宋_GB2312" w:hAnsi="仿宋_GB2312" w:cs="仿宋_GB2312" w:eastAsia="仿宋_GB2312"/>
          <w:sz w:val="28"/>
          <w:b/>
        </w:rPr>
        <w:t>陕西理工大学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宿舍楼学生社区标准化建设项目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【KRDL】K3—2507144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宿舍楼学生社区标准化建设项目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理工大学宿舍楼学生社区标准化建设项目，6、7、9#宿舍楼一楼进行改造；拆除原门窗，铲除原墙、顶面涂料面层；更换门窗，地面新做水泥自流平，安装金属踢脚线；过道木饰面护墙板墙裙，墙、顶喷刷无机涂料；室外门口铝合金装饰门头；电气安装改造等内容，具体内容详见竞争性磋商文件、图纸、工程量清单及答疑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采购包1（陕西理工大学宿舍楼学生社区标准化建设项目）：属于专门面向中小企业采购。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1、主体资格：供应商为向采购人提供相关工程及服务的法人或其他组织</w:t>
      </w:r>
    </w:p>
    <w:p>
      <w:pPr>
        <w:pStyle w:val="null3"/>
      </w:pPr>
      <w:r>
        <w:rPr>
          <w:rFonts w:ascii="仿宋_GB2312" w:hAnsi="仿宋_GB2312" w:cs="仿宋_GB2312" w:eastAsia="仿宋_GB2312"/>
        </w:rPr>
        <w:t>2、企业资质要求：供应商应具备合法有效的建筑装修装饰工程专业承包二级（含二级）及以上资质，并具备合法有效的安全生产许可证，且在人员、设备、资金等方面具备相应施工能力</w:t>
      </w:r>
    </w:p>
    <w:p>
      <w:pPr>
        <w:pStyle w:val="null3"/>
      </w:pPr>
      <w:r>
        <w:rPr>
          <w:rFonts w:ascii="仿宋_GB2312" w:hAnsi="仿宋_GB2312" w:cs="仿宋_GB2312" w:eastAsia="仿宋_GB2312"/>
        </w:rPr>
        <w:t>3、拟派项目负责人资格和专业要求：供应商拟派项目经理具备合法有效的建筑工程专业二级（含二级）及以上注册建造师资格和安全生产考核合格证，在本单位注册且未担任其他在建工程项目的项目经理</w:t>
      </w:r>
    </w:p>
    <w:p>
      <w:pPr>
        <w:pStyle w:val="null3"/>
      </w:pPr>
      <w:r>
        <w:rPr>
          <w:rFonts w:ascii="仿宋_GB2312" w:hAnsi="仿宋_GB2312" w:cs="仿宋_GB2312" w:eastAsia="仿宋_GB2312"/>
        </w:rPr>
        <w:t>4、信誉要求：供应商未被“信用中国”网站列入失信被执行人、重大税收违法失信主体名单，未被“中国政府采购网”网站列入政府采购严重违法失信行为记录名单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6、磋商授权代表：供应商应授权合法的人员参加本项目磋商会议全过程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付明杰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18729623358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马玉娇、张晨、姚瑶、王昭、刘昆、代光艳、王森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15109119970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采购包1：887,889.52元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采购包1保证金金额：5,003.00元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说明：成交供应商在与采购人签订合同前，须向采购人缴纳履约保证金。 退还时间：质保期满后30天内无质量服务问题予以退还（无息）。</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857号）的有关标准向采购代理机构一次付清代理服务费。注：转账需备注xxx项目+代理服务费或磋商保证金。</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联系人：马玉娇、张晨</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887,889.52</w:t>
      </w:r>
    </w:p>
    <w:p>
      <w:pPr>
        <w:pStyle w:val="null3"/>
      </w:pPr>
      <w:r>
        <w:rPr>
          <w:rFonts w:ascii="仿宋_GB2312" w:hAnsi="仿宋_GB2312" w:cs="仿宋_GB2312" w:eastAsia="仿宋_GB2312"/>
        </w:rPr>
        <w:t>采购包最高限价（元）: 887,889.52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宿舍楼学生社区标准化建设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887,889.52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标的名称：宿舍楼学生社区标准化建设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jc w:val="both"/>
            </w:pPr>
            <w:r>
              <w:rPr>
                <w:rFonts w:ascii="仿宋_GB2312" w:hAnsi="仿宋_GB2312" w:cs="仿宋_GB2312" w:eastAsia="仿宋_GB2312"/>
                <w:sz w:val="24"/>
              </w:rPr>
              <w:t>陕西理工大学宿舍楼学生社区标准化建设项目，</w:t>
            </w:r>
            <w:r>
              <w:rPr>
                <w:rFonts w:ascii="仿宋_GB2312" w:hAnsi="仿宋_GB2312" w:cs="仿宋_GB2312" w:eastAsia="仿宋_GB2312"/>
                <w:sz w:val="24"/>
              </w:rPr>
              <w:t>6、7、9#宿舍楼一楼进行改造；拆除原门窗，铲除原墙、顶面涂料面层；更换门窗，地面新做水泥自流平，安装金属踢脚线；过道木饰面护墙板墙裙，墙、顶喷刷无机涂料；室外门口铝合金装饰门头；电气安装改造等内容，具体内容详见竞争性磋商文件、图纸、工程量清单及答疑文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二、工程技术标准及要求</w:t>
            </w:r>
          </w:p>
          <w:p>
            <w:pPr>
              <w:pStyle w:val="null3"/>
              <w:jc w:val="both"/>
            </w:pPr>
            <w:r>
              <w:rPr>
                <w:rFonts w:ascii="仿宋_GB2312" w:hAnsi="仿宋_GB2312" w:cs="仿宋_GB2312" w:eastAsia="仿宋_GB2312"/>
                <w:sz w:val="24"/>
              </w:rPr>
              <w:t>1.严格执行国家现行相关施工技术及质量验收规范。尊重和服从业主的监督与指挥，对工程质量全面负责并确保达到一次性验收合格以上。</w:t>
            </w:r>
          </w:p>
          <w:p>
            <w:pPr>
              <w:pStyle w:val="null3"/>
              <w:jc w:val="both"/>
            </w:pPr>
            <w:r>
              <w:rPr>
                <w:rFonts w:ascii="仿宋_GB2312" w:hAnsi="仿宋_GB2312" w:cs="仿宋_GB2312" w:eastAsia="仿宋_GB2312"/>
                <w:sz w:val="24"/>
              </w:rPr>
              <w:t>2.强化施工队伍的安全生产教育，严格按安全操作规程施工，不强行、违章施工，严格杜绝各种安全事故的发生。否则由成交人承担由此产生之全部责任。</w:t>
            </w:r>
          </w:p>
          <w:p>
            <w:pPr>
              <w:pStyle w:val="null3"/>
              <w:jc w:val="both"/>
            </w:pPr>
            <w:r>
              <w:rPr>
                <w:rFonts w:ascii="仿宋_GB2312" w:hAnsi="仿宋_GB2312" w:cs="仿宋_GB2312" w:eastAsia="仿宋_GB2312"/>
                <w:sz w:val="24"/>
              </w:rPr>
              <w:t>3.工人进入施工现场必须持有有效上岗证，统一着装，佩带安全帽，做到文明、安全施工、工完场清。</w:t>
            </w:r>
          </w:p>
          <w:p>
            <w:pPr>
              <w:pStyle w:val="null3"/>
              <w:jc w:val="both"/>
            </w:pPr>
            <w:r>
              <w:rPr>
                <w:rFonts w:ascii="仿宋_GB2312" w:hAnsi="仿宋_GB2312" w:cs="仿宋_GB2312" w:eastAsia="仿宋_GB2312"/>
                <w:sz w:val="24"/>
              </w:rPr>
              <w:t>4.供应商必须保证充足的施工人员及技术力量，人数稳定，工作效率高，否则因此而造成 的延期交工、工程质量等问题均由供应商承担。</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5.具体施工作业中必须配备所需交通安全标志牌、安全围挡、指示牌和指示灯等 交通安全设施，并且必须符合国家现行施工操作规程及相关法律规定，以确 保安全、文明施工，否则由此造成之一切后果均由供应商负责。</w:t>
            </w:r>
          </w:p>
          <w:p>
            <w:pPr>
              <w:pStyle w:val="null3"/>
              <w:jc w:val="both"/>
            </w:pPr>
            <w:r>
              <w:rPr>
                <w:rFonts w:ascii="仿宋_GB2312" w:hAnsi="仿宋_GB2312" w:cs="仿宋_GB2312" w:eastAsia="仿宋_GB2312"/>
                <w:sz w:val="24"/>
              </w:rPr>
              <w:t>6.供应商及其施工人员必须严格遵守、执行采购人制定的各项规章制度及有关条例。如有违反且情节严重、严重影响采购人，采购人可责令供应商清场并另行安排其他施工队伍组织施工。同时供应商应对由此给采购人造成之损失予以赔偿，由此产生之一切法律后果均由供应商负责。</w:t>
            </w:r>
          </w:p>
          <w:p>
            <w:pPr>
              <w:pStyle w:val="null3"/>
              <w:jc w:val="both"/>
            </w:pPr>
            <w:r>
              <w:rPr>
                <w:rFonts w:ascii="仿宋_GB2312" w:hAnsi="仿宋_GB2312" w:cs="仿宋_GB2312" w:eastAsia="仿宋_GB2312"/>
                <w:sz w:val="24"/>
              </w:rPr>
              <w:t>7.工程完工并移交采购人前，供应商应保障采购人不承担任何因人身伤亡或财产损失所发生的一切责任，保障采购人不承担任何属于供应商及其施工人员引起之 诉讼、控告、索赔责任及可能发生之相关费用。</w:t>
            </w:r>
          </w:p>
          <w:p>
            <w:pPr>
              <w:pStyle w:val="null3"/>
              <w:jc w:val="both"/>
            </w:pPr>
            <w:r>
              <w:rPr>
                <w:rFonts w:ascii="仿宋_GB2312" w:hAnsi="仿宋_GB2312" w:cs="仿宋_GB2312" w:eastAsia="仿宋_GB2312"/>
                <w:sz w:val="24"/>
              </w:rPr>
              <w:t>8.供应商不得将施工任务再行转包，否则采购人有权立即收回施工项目并由供应商承担所有违约责任。</w:t>
            </w:r>
          </w:p>
          <w:p>
            <w:pPr>
              <w:pStyle w:val="null3"/>
              <w:jc w:val="both"/>
            </w:pPr>
            <w:r>
              <w:rPr>
                <w:rFonts w:ascii="仿宋_GB2312" w:hAnsi="仿宋_GB2312" w:cs="仿宋_GB2312" w:eastAsia="仿宋_GB2312"/>
                <w:sz w:val="24"/>
              </w:rPr>
              <w:t>9.工程完工后，供应商应向采购人及时上报，提交工程验收申请。在正式工程验收完成后的 20 日内，上报完成的竣工资料。</w:t>
            </w:r>
          </w:p>
          <w:p>
            <w:pPr>
              <w:pStyle w:val="null3"/>
              <w:jc w:val="both"/>
            </w:pPr>
            <w:r>
              <w:rPr>
                <w:rFonts w:ascii="仿宋_GB2312" w:hAnsi="仿宋_GB2312" w:cs="仿宋_GB2312" w:eastAsia="仿宋_GB2312"/>
                <w:sz w:val="24"/>
              </w:rPr>
              <w:t>10.未经采购人许可，供应商不得直接或间接参与涉及采购人工程的施工。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其他内容详见工程量清单及图纸</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1.工期：合同签订后30日历天完工； 2.工程质量：合格（达到国家强制性合格标准）； 3.工程地点：陕西理工大学南校区内； 4.质量保修期：自工程竣工验收合格之日进入工程质量保修期，质量保修期2年； 5.报价要求： 5.1本项目采用工程量清单计价，自主填报已标价工程量清单。已标价工程量清单中供应商均应按清单项填报综合单价并计算合价，每一项目只允许有一个报价，任何有选择的报价将不予接受。供应商未填综合单价和合价的，均视为此项目费用已包含在其他综合单价和合价中，中标后不予增加。所有磋商报价中的单价和合价均以人民币表示。 5.2供应商应充分考虑磋商文件的各项条款和所掌握的市场情况及本工程的实际情况，且应根据企业自身情况自主做出填报综合单价、合价及磋商总价。供应商在计算报价时须全面考虑磋商文件及拟签订合同中所明示或可能涉及的全部风险。供应商在磋商报价时应仔细对磋商文件进行透彻地分析研究，对图纸进行仔细地阅读和理解，根据磋商文件中的工程量清单和有关要求、施工现场实际情况及拟定的施工方案或施工组织设计进行报价。招标人所发布的工程量清单的工程项目仅表达了主要工程做法，报价时各供应商应依据图纸用料说明、相关图集，结合图纸、磋商文件、合同条款、技术规范及现场情况进行科学合理组价。所投标的综合单价招标人视为是相应清单项在招标范围内的全部内容价格。 5.3供应商不得修改或删减采购人提供的分部分项工程量清单内容，否则按无效磋商处理。结算时依据采购人审定的工程量，以成交供应商一次磋商报价中的各项单价结合合同约定的调价方式进行组价×（1-下浮率）据实结算，下浮率=[（一次磋商报价（不含工程暂列金金额）-最后磋商报价（不含工程暂列金金额）/一次磋商报价]*100%。 5.4供应商应当按照磋商文件及工程量清单编制说明、最高投标限价编制说明等要求填报暂列金额（本项目工程暂列金金额：40000.00元）、材料暂估价（如有）、专业工程暂估价（如有），未按照要求的金额或内容填报的，按照无效磋商处理。 5.5供应商自行前往工地现场踏勘，以便充分了解工地位置、情况、道路、储存空间、装卸限制及人和其他足以影响承包价的情况，任何因供应商疏忽或误解工地情况而导致的索赔或工期延长申请将不被批准。凡因供应商对磋商文件阅读疏忽或误解，或因对施工现场、施工环境、市场行情等了解不清而造成的后果和风险，均由供应商负责。 5.6税金和安全文明施工措施费属不可竞争费用，按照现行有关规定填报。 5.7本项目计价依据及内容详见工程量编制清单及最高限价编制清单。其他报价需要注意的事项以磋商文件及拟签订合同中的要求为准。 5.8关于本项目的结算方式、价格调整办法详见本文件中“ 拟签订的合同文本”。 5.9资金支付方式：工程竣工验收合格，经甲方审计后一次性支付，最终支付金额以审计定案金额为准。乙方向甲方提供与合同相符的单位、开户行及银行账号的有效税务发票，甲方按照财务手续，一次性支付工程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 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场监督管理总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供应商为向采购人提供相关工程及服务的法人或其他组织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供应商应具备合法有效的建筑装修装饰工程专业承包二级（含二级）及以上资质，并具备合法有效的安全生产许可证，且在人员、设备、资金等方面具备相应施工能力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拟派项目负责人资格和专业要求</w:t>
            </w:r>
          </w:p>
        </w:tc>
        <w:tc>
          <w:tcPr>
            <w:tcW w:type="dxa" w:w="3322"/>
          </w:tcPr>
          <w:p>
            <w:pPr>
              <w:pStyle w:val="null3"/>
            </w:pPr>
            <w:r>
              <w:rPr>
                <w:rFonts w:ascii="仿宋_GB2312" w:hAnsi="仿宋_GB2312" w:cs="仿宋_GB2312" w:eastAsia="仿宋_GB2312"/>
              </w:rPr>
              <w:t>供应商拟派项目经理具备合法有效的建筑工程专业二级（含二级）及以上注册建造师资格和安全生产考核合格证，在本单位注册且未担任其他在建工程项目的项目经理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磋商授权代表</w:t>
            </w:r>
          </w:p>
        </w:tc>
        <w:tc>
          <w:tcPr>
            <w:tcW w:type="dxa" w:w="3322"/>
          </w:tcPr>
          <w:p>
            <w:pPr>
              <w:pStyle w:val="null3"/>
            </w:pPr>
            <w:r>
              <w:rPr>
                <w:rFonts w:ascii="仿宋_GB2312" w:hAnsi="仿宋_GB2312" w:cs="仿宋_GB2312" w:eastAsia="仿宋_GB2312"/>
              </w:rPr>
              <w:t>供应商应授权合法的人员参加本项目磋商会议全过程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响应文件应按竞争性磋商文件要求电子签章的</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竞争性磋商文件中规定的最高限价</w:t>
            </w:r>
          </w:p>
        </w:tc>
        <w:tc>
          <w:tcPr>
            <w:tcW w:type="dxa" w:w="3322"/>
          </w:tcPr>
          <w:p>
            <w:pPr>
              <w:pStyle w:val="null3"/>
            </w:pPr>
            <w:r>
              <w:rPr>
                <w:rFonts w:ascii="仿宋_GB2312" w:hAnsi="仿宋_GB2312" w:cs="仿宋_GB2312" w:eastAsia="仿宋_GB2312"/>
              </w:rPr>
              <w:t>供应商报价不得超过竞争性磋商文件中规定的最高限价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响应文件应满足本文件第三章 磋商项目技术、服务、商务及其他要求中3.3其他要求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响应文件应满足本文件第三章 磋商项目技术、服务、商务及其他要求中3.3其他要求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每轮报价只有一个报价，无选择性报价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响应文件不得含有采购人不能接受的附加条件并需满足本竞争性磋商文件中实质性要求</w:t>
            </w:r>
          </w:p>
        </w:tc>
        <w:tc>
          <w:tcPr>
            <w:tcW w:type="dxa" w:w="3322"/>
          </w:tcPr>
          <w:p>
            <w:pPr>
              <w:pStyle w:val="null3"/>
            </w:pPr>
            <w:r>
              <w:rPr>
                <w:rFonts w:ascii="仿宋_GB2312" w:hAnsi="仿宋_GB2312" w:cs="仿宋_GB2312" w:eastAsia="仿宋_GB2312"/>
              </w:rPr>
              <w:t>未含有采购人不能接受的附加条件并需满足本竞争性磋商文件中实质性要求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供应商提供自2022年7月1日至今已承接的类似业绩证明材料，每提供1项得1分，最多得5分。 评审依据：类似业绩证明材料指维修改造工程或其他施工项目中包含维修改造施工内容的业绩合同扫描件或复印件加盖供应商公章（包含合同主要内容及签字盖章等关键信息），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拟派项目经理具备高级（含）以上职称得5分，具备中级职称得2分；其余情况不得分。 评审依据：评审时以供应商提供的拟派项目经理的职称证扫描件或复印件并加盖供应商公章为准，提供多个职称证明材料的，以最高职称证书的扫描件或复印件并加盖供应商公章为准。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供应商提供拟派项目经理自2022年7月1日以来至今已完成的类似项目业绩证明材料的（在该项目中担任项目经理一职）每提供1项得2.5分，最多得5分。 评审依据：类似业绩证明材料指维修改造工程或其他施工项目中包含维修改造施工内容的业绩合同扫描件或复印件加盖供应商公章（包含合同主要内容及签字盖章等关键信息），以合同签订时间所体现的时间为准，合同中应体现的项目经理姓名。且不可与企业业绩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拟派技术负责人</w:t>
            </w:r>
          </w:p>
        </w:tc>
        <w:tc>
          <w:tcPr>
            <w:tcW w:type="dxa" w:w="2492"/>
          </w:tcPr>
          <w:p>
            <w:pPr>
              <w:pStyle w:val="null3"/>
            </w:pPr>
            <w:r>
              <w:rPr>
                <w:rFonts w:ascii="仿宋_GB2312" w:hAnsi="仿宋_GB2312" w:cs="仿宋_GB2312" w:eastAsia="仿宋_GB2312"/>
              </w:rPr>
              <w:t>拟派项目技术负责人具备高级（含）以上职称得5分，具备中级职称得2分；其余情况不得分。 评审依据：评审时以供应商提供的拟派项目技术负责人的职称证扫描件或复印件并加盖供应商公章为准，提供多个职称证明材料的，以最高职称证书的扫描件或复印件并加盖供应商公章为准。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拟派项目部人员构成</w:t>
            </w:r>
          </w:p>
        </w:tc>
        <w:tc>
          <w:tcPr>
            <w:tcW w:type="dxa" w:w="2492"/>
          </w:tcPr>
          <w:p>
            <w:pPr>
              <w:pStyle w:val="null3"/>
            </w:pPr>
            <w:r>
              <w:rPr>
                <w:rFonts w:ascii="仿宋_GB2312" w:hAnsi="仿宋_GB2312" w:cs="仿宋_GB2312" w:eastAsia="仿宋_GB2312"/>
              </w:rPr>
              <w:t>项目部人员至少应包括（除项目经理外）每配备一个技术人员或管理人员加1分，最高得5分。 评审依据：配备的专业技术或管理人员必须具有相应专业职称证书或注册证书或从业证书，评审时以供应商提供加盖供应商公章的证书复印件或扫描件为准。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主要材料</w:t>
            </w:r>
          </w:p>
        </w:tc>
        <w:tc>
          <w:tcPr>
            <w:tcW w:type="dxa" w:w="2492"/>
          </w:tcPr>
          <w:p>
            <w:pPr>
              <w:pStyle w:val="null3"/>
            </w:pPr>
            <w:r>
              <w:rPr>
                <w:rFonts w:ascii="仿宋_GB2312" w:hAnsi="仿宋_GB2312" w:cs="仿宋_GB2312" w:eastAsia="仿宋_GB2312"/>
              </w:rPr>
              <w:t>供应商针对本项目的主材清单如乙级钢制防火门、20mm厚芝麻灰花岗岩石材、无机涂料、15mm木工板、6mm黑色铝合金踢脚线等（清单内容包括但不限于材料名称、品牌、规格、材质以及货源渠道是否正规、提 供的材料是否为节能环保或环境标志产品等），根据提供内容的完整程度计分： 提供清单内容完整丰富，使用材料能保障工程质量 的计 3.1-5 分； 清单内容基本完整，使用材料基本能保障工程质量 的计 1.1-3 分； 清单内容有欠缺，但使用材料基本能保障项目实施 的计 0.1-1 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主要材料表.docx</w:t>
            </w:r>
          </w:p>
        </w:tc>
      </w:tr>
      <w:tr>
        <w:tc>
          <w:tcPr>
            <w:tcW w:type="dxa" w:w="831"/>
            <w:vMerge/>
          </w:tcPr>
          <w:p/>
        </w:tc>
        <w:tc>
          <w:tcPr>
            <w:tcW w:type="dxa" w:w="1661"/>
          </w:tcPr>
          <w:p>
            <w:pPr>
              <w:pStyle w:val="null3"/>
            </w:pPr>
            <w:r>
              <w:rPr>
                <w:rFonts w:ascii="仿宋_GB2312" w:hAnsi="仿宋_GB2312" w:cs="仿宋_GB2312" w:eastAsia="仿宋_GB2312"/>
              </w:rPr>
              <w:t>总体实施方案1</w:t>
            </w:r>
          </w:p>
        </w:tc>
        <w:tc>
          <w:tcPr>
            <w:tcW w:type="dxa" w:w="2492"/>
          </w:tcPr>
          <w:p>
            <w:pPr>
              <w:pStyle w:val="null3"/>
            </w:pPr>
            <w:r>
              <w:rPr>
                <w:rFonts w:ascii="仿宋_GB2312" w:hAnsi="仿宋_GB2312" w:cs="仿宋_GB2312" w:eastAsia="仿宋_GB2312"/>
              </w:rPr>
              <w:t>1.根据供应商提供的施工整体方案，包括但不限于：①施工组织整体方案；②分部分项施工方案；③方案针对性；④施工段划分，磋商小组根据供应商所提供的内容进行评审： 施工整体方案科学合理、内容表述清晰，各项内容完整、严谨合理、针对性强得3.1-5分； 施工整体方案各项内容简单粗略，基本满足本项目需求得1.1-3分； 施工整体方案内容表述模糊，有缺项漏项得0.1-1分；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 2</w:t>
            </w:r>
          </w:p>
        </w:tc>
        <w:tc>
          <w:tcPr>
            <w:tcW w:type="dxa" w:w="2492"/>
          </w:tcPr>
          <w:p>
            <w:pPr>
              <w:pStyle w:val="null3"/>
            </w:pPr>
            <w:r>
              <w:rPr>
                <w:rFonts w:ascii="仿宋_GB2312" w:hAnsi="仿宋_GB2312" w:cs="仿宋_GB2312" w:eastAsia="仿宋_GB2312"/>
              </w:rPr>
              <w:t>2.根据供应商提供的确保工程质量的技术组织措施，包括但不限于：①质量体系；②质量保证措施，磋商小组根据供应商所提供的内容进行评审： 工程质量的技术组织措施科学合理、内容表述清晰，各项内容完整、严谨合理、针对性强得3.1-5分； 工程质量的技术组织措施各项内容简单粗略，基本满足本项目需求得1.1-3分； 工程质量的技术组织措施内容表述模糊，有缺项漏项得0.1-1分；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总体实施方案3</w:t>
            </w:r>
          </w:p>
        </w:tc>
        <w:tc>
          <w:tcPr>
            <w:tcW w:type="dxa" w:w="2492"/>
          </w:tcPr>
          <w:p>
            <w:pPr>
              <w:pStyle w:val="null3"/>
            </w:pPr>
            <w:r>
              <w:rPr>
                <w:rFonts w:ascii="仿宋_GB2312" w:hAnsi="仿宋_GB2312" w:cs="仿宋_GB2312" w:eastAsia="仿宋_GB2312"/>
              </w:rPr>
              <w:t>3.根据供应商提供的项目工期的技术组织措施，包括但不限于：①工期进度计划；②进度表，磋商小组根据供应商所提供的内容进行评审： 项目工期的技术组织措施科学合理、内容表述清晰，各项内容完整、严谨合理、针对性强得1.1-2分； 项目工期的技术组织措施各项内容简单粗略，基本满足本项目需求得0.1-1分；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总体实施方案3</w:t>
            </w:r>
          </w:p>
        </w:tc>
        <w:tc>
          <w:tcPr>
            <w:tcW w:type="dxa" w:w="2492"/>
          </w:tcPr>
          <w:p>
            <w:pPr>
              <w:pStyle w:val="null3"/>
            </w:pPr>
            <w:r>
              <w:rPr>
                <w:rFonts w:ascii="仿宋_GB2312" w:hAnsi="仿宋_GB2312" w:cs="仿宋_GB2312" w:eastAsia="仿宋_GB2312"/>
              </w:rPr>
              <w:t>本项目工期为自合同签订之日起30日历天内，在此基础上工期每减少1天，增加1分，最高增加3分。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总体实施方案4</w:t>
            </w:r>
          </w:p>
        </w:tc>
        <w:tc>
          <w:tcPr>
            <w:tcW w:type="dxa" w:w="2492"/>
          </w:tcPr>
          <w:p>
            <w:pPr>
              <w:pStyle w:val="null3"/>
            </w:pPr>
            <w:r>
              <w:rPr>
                <w:rFonts w:ascii="仿宋_GB2312" w:hAnsi="仿宋_GB2312" w:cs="仿宋_GB2312" w:eastAsia="仿宋_GB2312"/>
              </w:rPr>
              <w:t>4.根据供应商提供的安全文明施工措施及环境保护措施，包括但不限于：①安全文明施工措施；②安全文明管理体系；③环境保护措施；④环境保护体系，磋商小组根据供应商所提供的内容进行评审： 安全文明施工措施及环境保护措施内容表述清晰，各项内容完整、措施科学合理、严谨得3.1-5分； 安全文明施工措施及环境保护措施内容简单粗略，基本满足本项目需求得1.1-3分； 安全文明施工措施及环境保护措施内容表述模糊，有缺项漏项得0.1-1分；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总体实施方案5</w:t>
            </w:r>
          </w:p>
        </w:tc>
        <w:tc>
          <w:tcPr>
            <w:tcW w:type="dxa" w:w="2492"/>
          </w:tcPr>
          <w:p>
            <w:pPr>
              <w:pStyle w:val="null3"/>
            </w:pPr>
            <w:r>
              <w:rPr>
                <w:rFonts w:ascii="仿宋_GB2312" w:hAnsi="仿宋_GB2312" w:cs="仿宋_GB2312" w:eastAsia="仿宋_GB2312"/>
              </w:rPr>
              <w:t>5.根据供应商提供的关键施工技术、工艺及工程实施的重点、难点和解决方案，包括但不限于：①本工程的关键施工技术、工艺；②本工程的重点、难点；③重点、难点解决方案，磋商小组根据供应商所提供的内容进行评审： 关键施工技术、工艺及工程实施的重点、难点和解决方案科学合理、针对性强，各项内容完整得3.1-5分； 关键施工技术、工艺及工程实施的重点、难点和解决方案各项内容简单粗略，基本满足本项目需求得1.1-3分； 内容表述模糊，有缺项漏项得0.1-1分；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总体实施方案6</w:t>
            </w:r>
          </w:p>
        </w:tc>
        <w:tc>
          <w:tcPr>
            <w:tcW w:type="dxa" w:w="2492"/>
          </w:tcPr>
          <w:p>
            <w:pPr>
              <w:pStyle w:val="null3"/>
            </w:pPr>
            <w:r>
              <w:rPr>
                <w:rFonts w:ascii="仿宋_GB2312" w:hAnsi="仿宋_GB2312" w:cs="仿宋_GB2312" w:eastAsia="仿宋_GB2312"/>
              </w:rPr>
              <w:t>6.根据供应商提供的针对本项目的机械设备和材料投入计划及保证措施，包括但不限于：①机械设备和材料投入计划；②保证措施，磋商小组根据供应商所提供的内容进行评审： 机械设备和材料投入计划及保证措施内容表述清晰，各项内容完整、措施科学合理、严谨得3.1-5分； 机械设备和材料投入计划及保证措施各项内容简单粗略，基本满足本项目需求得1.1-3分； 内容表述模糊，有缺项漏项得0.1-1分；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总体实施方案7</w:t>
            </w:r>
          </w:p>
        </w:tc>
        <w:tc>
          <w:tcPr>
            <w:tcW w:type="dxa" w:w="2492"/>
          </w:tcPr>
          <w:p>
            <w:pPr>
              <w:pStyle w:val="null3"/>
            </w:pPr>
            <w:r>
              <w:rPr>
                <w:rFonts w:ascii="仿宋_GB2312" w:hAnsi="仿宋_GB2312" w:cs="仿宋_GB2312" w:eastAsia="仿宋_GB2312"/>
              </w:rPr>
              <w:t>7.根据供应商提供的工程验收方案，根据方案的完整性、针对性和可操作性，磋商小组根据供应商所提供的内容进行评审： 工程验收方案科学合理、针对性强，满足本项目需求得3.1-5分； 工程验收方案具有一定的合理性、针对性，基本满足本项目需求得1.1-3分； 工程验收方案内容简单，表述模糊得0.1-1分；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总体实施方案8</w:t>
            </w:r>
          </w:p>
        </w:tc>
        <w:tc>
          <w:tcPr>
            <w:tcW w:type="dxa" w:w="2492"/>
          </w:tcPr>
          <w:p>
            <w:pPr>
              <w:pStyle w:val="null3"/>
            </w:pPr>
            <w:r>
              <w:rPr>
                <w:rFonts w:ascii="仿宋_GB2312" w:hAnsi="仿宋_GB2312" w:cs="仿宋_GB2312" w:eastAsia="仿宋_GB2312"/>
              </w:rPr>
              <w:t>8.根据供应商提供的突发、应急事项处理举措，磋商小组根据供应商所提供的内容进行评审： 突发、应急事项处理举措科学合理、针对性强，满足项目要求得3.1-5分； 突发、应急事项处理举措具有一定的合理性、针对性，基本满足本项目需求得1.1-3分； 突发、应急事项处理举措内容简单，表述模糊得0.1-1分；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经资格审查、符合性审查合格的响应文件，其磋商报价为有效报价。 综合评分法中的价格分统一采用低价优先法计算，即满足竞争性磋商文件要求且最后报价最低的供应商的价格为磋商基准价，其价格分为满分。其他供应商的价格分统一按照下列公式计算：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详见附件：主要材料表.docx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