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90FD16">
      <w:pPr>
        <w:pStyle w:val="8"/>
        <w:keepNext w:val="0"/>
        <w:keepLines w:val="0"/>
        <w:pageBreakBefore w:val="0"/>
        <w:widowControl/>
        <w:numPr>
          <w:numId w:val="0"/>
        </w:numPr>
        <w:kinsoku/>
        <w:wordWrap/>
        <w:overflowPunct/>
        <w:topLinePunct w:val="0"/>
        <w:autoSpaceDE/>
        <w:autoSpaceDN/>
        <w:bidi w:val="0"/>
        <w:adjustRightInd/>
        <w:snapToGrid w:val="0"/>
        <w:spacing w:line="360" w:lineRule="auto"/>
        <w:jc w:val="center"/>
        <w:textAlignment w:val="auto"/>
        <w:outlineLvl w:val="1"/>
        <w:rPr>
          <w:rFonts w:ascii="仿宋_GB2312" w:hAnsi="仿宋_GB2312" w:eastAsia="仿宋_GB2312" w:cs="仿宋_GB2312"/>
          <w:b/>
          <w:sz w:val="36"/>
        </w:rPr>
      </w:pPr>
      <w:bookmarkStart w:id="40" w:name="_GoBack"/>
      <w:r>
        <w:rPr>
          <w:rFonts w:ascii="仿宋_GB2312" w:hAnsi="仿宋_GB2312" w:eastAsia="仿宋_GB2312" w:cs="仿宋_GB2312"/>
          <w:b/>
          <w:sz w:val="36"/>
        </w:rPr>
        <w:t>拟签订采购合同文本</w:t>
      </w:r>
    </w:p>
    <w:bookmarkEnd w:id="40"/>
    <w:p w14:paraId="40C297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2"/>
          <w:lang w:eastAsia="zh-CN"/>
        </w:rPr>
      </w:pPr>
      <w:r>
        <w:rPr>
          <w:rFonts w:hint="eastAsia" w:ascii="仿宋" w:hAnsi="仿宋" w:eastAsia="仿宋" w:cs="仿宋"/>
          <w:b/>
          <w:bCs/>
          <w:sz w:val="24"/>
          <w:szCs w:val="22"/>
        </w:rPr>
        <w:t>发包人：</w:t>
      </w:r>
      <w:r>
        <w:rPr>
          <w:rFonts w:hint="eastAsia" w:ascii="仿宋" w:hAnsi="仿宋" w:eastAsia="仿宋" w:cs="仿宋"/>
          <w:b/>
          <w:bCs/>
          <w:sz w:val="24"/>
          <w:szCs w:val="22"/>
          <w:u w:val="single"/>
          <w:lang w:eastAsia="zh-CN"/>
        </w:rPr>
        <w:t>陕西理工大学</w:t>
      </w:r>
    </w:p>
    <w:p w14:paraId="68F606B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2"/>
        </w:rPr>
      </w:pPr>
      <w:r>
        <w:rPr>
          <w:rFonts w:hint="eastAsia" w:ascii="仿宋" w:hAnsi="仿宋" w:eastAsia="仿宋" w:cs="仿宋"/>
          <w:b/>
          <w:bCs/>
          <w:sz w:val="24"/>
          <w:szCs w:val="22"/>
        </w:rPr>
        <w:t>承包人：</w:t>
      </w:r>
      <w:r>
        <w:rPr>
          <w:rFonts w:hint="eastAsia" w:ascii="仿宋" w:hAnsi="仿宋" w:eastAsia="仿宋" w:cs="仿宋"/>
          <w:b/>
          <w:bCs/>
          <w:sz w:val="24"/>
          <w:szCs w:val="22"/>
          <w:u w:val="single"/>
        </w:rPr>
        <w:t xml:space="preserve">        </w:t>
      </w:r>
      <w:r>
        <w:rPr>
          <w:rFonts w:hint="eastAsia" w:ascii="仿宋" w:hAnsi="仿宋" w:eastAsia="仿宋" w:cs="仿宋"/>
          <w:b/>
          <w:bCs/>
          <w:sz w:val="24"/>
          <w:szCs w:val="22"/>
          <w:u w:val="single"/>
          <w:lang w:val="en-US" w:eastAsia="zh-CN"/>
        </w:rPr>
        <w:t xml:space="preserve"> </w:t>
      </w:r>
      <w:r>
        <w:rPr>
          <w:rFonts w:hint="eastAsia" w:ascii="仿宋" w:hAnsi="仿宋" w:eastAsia="仿宋" w:cs="仿宋"/>
          <w:b/>
          <w:bCs/>
          <w:sz w:val="24"/>
          <w:szCs w:val="22"/>
          <w:u w:val="single"/>
        </w:rPr>
        <w:t xml:space="preserve">    </w:t>
      </w:r>
      <w:r>
        <w:rPr>
          <w:rFonts w:hint="eastAsia" w:ascii="仿宋" w:hAnsi="仿宋" w:eastAsia="仿宋" w:cs="仿宋"/>
          <w:b/>
          <w:bCs/>
          <w:sz w:val="24"/>
          <w:szCs w:val="22"/>
        </w:rPr>
        <w:t xml:space="preserve">   </w:t>
      </w:r>
    </w:p>
    <w:p w14:paraId="25EBCC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根据《中华人民共和国民法典》、《中华人民共和国建筑法》及有关法律规定，遵循平等、自愿、公平和诚实信用的原则，双方经过磋商的采购方式，就</w:t>
      </w:r>
      <w:r>
        <w:rPr>
          <w:rFonts w:hint="eastAsia" w:ascii="仿宋" w:hAnsi="仿宋" w:eastAsia="仿宋" w:cs="仿宋"/>
          <w:sz w:val="24"/>
          <w:szCs w:val="22"/>
          <w:u w:val="single"/>
          <w:lang w:eastAsia="zh-CN"/>
        </w:rPr>
        <w:t>陕西理工大学宿舍楼学生社区标准化建设项目</w:t>
      </w:r>
      <w:r>
        <w:rPr>
          <w:rFonts w:hint="eastAsia" w:ascii="仿宋" w:hAnsi="仿宋" w:eastAsia="仿宋" w:cs="仿宋"/>
          <w:sz w:val="24"/>
          <w:szCs w:val="22"/>
        </w:rPr>
        <w:t>及有关事项协商一致，共同达成如下协议：</w:t>
      </w:r>
    </w:p>
    <w:p w14:paraId="2AF6FEC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2"/>
        </w:rPr>
      </w:pPr>
      <w:bookmarkStart w:id="0" w:name="_Toc351203481"/>
      <w:r>
        <w:rPr>
          <w:rFonts w:hint="eastAsia" w:ascii="仿宋" w:hAnsi="仿宋" w:eastAsia="仿宋" w:cs="仿宋"/>
          <w:b/>
          <w:bCs/>
          <w:sz w:val="24"/>
          <w:szCs w:val="22"/>
        </w:rPr>
        <w:t>一、工程概况</w:t>
      </w:r>
      <w:bookmarkEnd w:id="0"/>
      <w:r>
        <w:rPr>
          <w:rFonts w:hint="eastAsia" w:ascii="仿宋" w:hAnsi="仿宋" w:eastAsia="仿宋" w:cs="仿宋"/>
          <w:b/>
          <w:bCs/>
          <w:sz w:val="24"/>
          <w:szCs w:val="22"/>
        </w:rPr>
        <w:t>及其他说明</w:t>
      </w:r>
    </w:p>
    <w:p w14:paraId="601F77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lang w:eastAsia="zh-CN"/>
        </w:rPr>
      </w:pPr>
      <w:r>
        <w:rPr>
          <w:rFonts w:hint="eastAsia" w:ascii="仿宋" w:hAnsi="仿宋" w:eastAsia="仿宋" w:cs="仿宋"/>
          <w:sz w:val="24"/>
          <w:szCs w:val="22"/>
          <w:lang w:eastAsia="zh-CN"/>
        </w:rPr>
        <w:t>1.工程名称：陕西理工大学宿舍楼学生社区标准化建设项目。</w:t>
      </w:r>
    </w:p>
    <w:p w14:paraId="6757E0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lang w:eastAsia="zh-CN"/>
        </w:rPr>
      </w:pPr>
      <w:r>
        <w:rPr>
          <w:rFonts w:hint="eastAsia" w:ascii="仿宋" w:hAnsi="仿宋" w:eastAsia="仿宋" w:cs="仿宋"/>
          <w:sz w:val="24"/>
          <w:szCs w:val="22"/>
          <w:lang w:eastAsia="zh-CN"/>
        </w:rPr>
        <w:t>2.工程地点：陕西理工大学南校区内。</w:t>
      </w:r>
    </w:p>
    <w:p w14:paraId="651022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lang w:eastAsia="zh-CN"/>
        </w:rPr>
      </w:pPr>
      <w:r>
        <w:rPr>
          <w:rFonts w:hint="eastAsia" w:ascii="仿宋" w:hAnsi="仿宋" w:eastAsia="仿宋" w:cs="仿宋"/>
          <w:sz w:val="24"/>
          <w:szCs w:val="22"/>
          <w:lang w:eastAsia="zh-CN"/>
        </w:rPr>
        <w:t>3.资金来源：已落实。</w:t>
      </w:r>
    </w:p>
    <w:p w14:paraId="18C4CB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lang w:eastAsia="zh-CN"/>
        </w:rPr>
      </w:pPr>
      <w:r>
        <w:rPr>
          <w:rFonts w:hint="eastAsia" w:ascii="仿宋" w:hAnsi="仿宋" w:eastAsia="仿宋" w:cs="仿宋"/>
          <w:sz w:val="24"/>
          <w:szCs w:val="22"/>
          <w:lang w:val="en-US" w:eastAsia="zh-CN"/>
        </w:rPr>
        <w:t>4.</w:t>
      </w:r>
      <w:r>
        <w:rPr>
          <w:rFonts w:hint="eastAsia" w:ascii="仿宋" w:hAnsi="仿宋" w:eastAsia="仿宋" w:cs="仿宋"/>
          <w:sz w:val="24"/>
          <w:szCs w:val="22"/>
          <w:lang w:eastAsia="zh-CN"/>
        </w:rPr>
        <w:t>本合同为：固定综合单价合同。</w:t>
      </w:r>
    </w:p>
    <w:p w14:paraId="200655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lang w:eastAsia="zh-CN"/>
        </w:rPr>
      </w:pPr>
      <w:r>
        <w:rPr>
          <w:rFonts w:hint="eastAsia" w:ascii="仿宋" w:hAnsi="仿宋" w:eastAsia="仿宋" w:cs="仿宋"/>
          <w:sz w:val="24"/>
          <w:szCs w:val="22"/>
          <w:lang w:val="en-US" w:eastAsia="zh-CN"/>
        </w:rPr>
        <w:t>5</w:t>
      </w:r>
      <w:r>
        <w:rPr>
          <w:rFonts w:hint="eastAsia" w:ascii="仿宋" w:hAnsi="仿宋" w:eastAsia="仿宋" w:cs="仿宋"/>
          <w:sz w:val="24"/>
          <w:szCs w:val="22"/>
          <w:lang w:eastAsia="zh-CN"/>
        </w:rPr>
        <w:t>.工程内容：</w:t>
      </w:r>
      <w:r>
        <w:rPr>
          <w:rFonts w:hint="eastAsia" w:ascii="仿宋" w:hAnsi="仿宋" w:eastAsia="仿宋" w:cs="仿宋"/>
          <w:sz w:val="24"/>
          <w:szCs w:val="22"/>
          <w:lang w:val="en-US" w:eastAsia="zh-CN"/>
        </w:rPr>
        <w:t>陕西理工大学宿舍楼学生社区标准化建设项目，6、7、9#宿舍楼一楼进行改造；拆除原门窗，铲除原墙、顶面涂料面层；更换门窗，地面新做水泥自流平，安装金属踢脚线；过道木饰面护墙板墙裙，墙、顶喷刷无机涂料；室外门口铝合金装饰门头；电气安装改造等内容，具体内容详见竞争性磋商文件、图纸、工程量清单及答疑文件</w:t>
      </w:r>
      <w:r>
        <w:rPr>
          <w:rFonts w:hint="eastAsia" w:ascii="仿宋" w:hAnsi="仿宋" w:eastAsia="仿宋" w:cs="仿宋"/>
          <w:sz w:val="24"/>
          <w:szCs w:val="22"/>
          <w:lang w:eastAsia="zh-CN"/>
        </w:rPr>
        <w:t>。</w:t>
      </w:r>
    </w:p>
    <w:p w14:paraId="7D76A3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lang w:eastAsia="zh-CN"/>
        </w:rPr>
      </w:pPr>
      <w:r>
        <w:rPr>
          <w:rFonts w:hint="eastAsia" w:ascii="仿宋" w:hAnsi="仿宋" w:eastAsia="仿宋" w:cs="仿宋"/>
          <w:sz w:val="24"/>
          <w:szCs w:val="22"/>
          <w:lang w:val="en-US" w:eastAsia="zh-CN"/>
        </w:rPr>
        <w:t>6</w:t>
      </w:r>
      <w:r>
        <w:rPr>
          <w:rFonts w:hint="eastAsia" w:ascii="仿宋" w:hAnsi="仿宋" w:eastAsia="仿宋" w:cs="仿宋"/>
          <w:sz w:val="24"/>
          <w:szCs w:val="22"/>
          <w:lang w:eastAsia="zh-CN"/>
        </w:rPr>
        <w:t>.工程承包范围：本项目的磋商文件、工程量清单、图纸、答疑文件及其他补充说明文件等。</w:t>
      </w:r>
      <w:bookmarkStart w:id="1" w:name="_Toc351203482"/>
    </w:p>
    <w:p w14:paraId="3950D7B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2"/>
        </w:rPr>
      </w:pPr>
      <w:r>
        <w:rPr>
          <w:rFonts w:hint="eastAsia" w:ascii="仿宋" w:hAnsi="仿宋" w:eastAsia="仿宋" w:cs="仿宋"/>
          <w:b/>
          <w:bCs/>
          <w:sz w:val="24"/>
          <w:szCs w:val="22"/>
          <w:lang w:val="en-US" w:eastAsia="zh-CN"/>
        </w:rPr>
        <w:t>二、</w:t>
      </w:r>
      <w:r>
        <w:rPr>
          <w:rFonts w:hint="eastAsia" w:ascii="仿宋" w:hAnsi="仿宋" w:eastAsia="仿宋" w:cs="仿宋"/>
          <w:b/>
          <w:bCs/>
          <w:sz w:val="24"/>
          <w:szCs w:val="22"/>
        </w:rPr>
        <w:t>合同</w:t>
      </w:r>
      <w:r>
        <w:rPr>
          <w:rFonts w:hint="eastAsia" w:ascii="仿宋" w:hAnsi="仿宋" w:eastAsia="仿宋" w:cs="仿宋"/>
          <w:b/>
          <w:bCs/>
          <w:sz w:val="24"/>
          <w:szCs w:val="22"/>
          <w:lang w:val="en-US" w:eastAsia="zh-CN"/>
        </w:rPr>
        <w:t>金额及</w:t>
      </w:r>
      <w:r>
        <w:rPr>
          <w:rFonts w:hint="eastAsia" w:ascii="仿宋" w:hAnsi="仿宋" w:eastAsia="仿宋" w:cs="仿宋"/>
          <w:b/>
          <w:bCs/>
          <w:sz w:val="24"/>
          <w:szCs w:val="22"/>
        </w:rPr>
        <w:t>工期</w:t>
      </w:r>
    </w:p>
    <w:p w14:paraId="4943EE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lang w:val="en-US" w:eastAsia="zh-CN"/>
        </w:rPr>
      </w:pPr>
      <w:r>
        <w:rPr>
          <w:rFonts w:hint="eastAsia" w:ascii="仿宋" w:hAnsi="仿宋" w:eastAsia="仿宋" w:cs="仿宋"/>
          <w:sz w:val="24"/>
          <w:szCs w:val="22"/>
          <w:lang w:val="en-US" w:eastAsia="zh-CN"/>
        </w:rPr>
        <w:t>签约合同金额：</w:t>
      </w:r>
      <w:r>
        <w:rPr>
          <w:rFonts w:hint="eastAsia" w:ascii="仿宋" w:hAnsi="仿宋" w:eastAsia="仿宋" w:cs="仿宋"/>
          <w:sz w:val="24"/>
          <w:szCs w:val="22"/>
          <w:u w:val="single"/>
          <w:lang w:val="en-US" w:eastAsia="zh-CN"/>
        </w:rPr>
        <w:t xml:space="preserve">               </w:t>
      </w:r>
      <w:r>
        <w:rPr>
          <w:rFonts w:hint="eastAsia" w:ascii="仿宋" w:hAnsi="仿宋" w:eastAsia="仿宋" w:cs="仿宋"/>
          <w:sz w:val="24"/>
          <w:szCs w:val="22"/>
          <w:lang w:val="en-US" w:eastAsia="zh-CN"/>
        </w:rPr>
        <w:t xml:space="preserve"> 。          </w:t>
      </w:r>
    </w:p>
    <w:p w14:paraId="21195F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工期：</w:t>
      </w:r>
      <w:r>
        <w:rPr>
          <w:rFonts w:hint="eastAsia" w:ascii="仿宋" w:hAnsi="仿宋" w:eastAsia="仿宋" w:cs="仿宋"/>
          <w:sz w:val="24"/>
          <w:szCs w:val="22"/>
          <w:u w:val="single"/>
          <w:lang w:val="en-US" w:eastAsia="zh-CN"/>
        </w:rPr>
        <w:t xml:space="preserve">                 日历天</w:t>
      </w:r>
      <w:r>
        <w:rPr>
          <w:rFonts w:hint="eastAsia" w:ascii="仿宋" w:hAnsi="仿宋" w:eastAsia="仿宋" w:cs="仿宋"/>
          <w:sz w:val="24"/>
          <w:szCs w:val="22"/>
          <w:lang w:val="en-US" w:eastAsia="zh-CN"/>
        </w:rPr>
        <w:t xml:space="preserve"> 。          </w:t>
      </w:r>
      <w:r>
        <w:rPr>
          <w:rFonts w:hint="eastAsia" w:ascii="仿宋" w:hAnsi="仿宋" w:eastAsia="仿宋" w:cs="仿宋"/>
          <w:sz w:val="24"/>
          <w:szCs w:val="22"/>
        </w:rPr>
        <w:t xml:space="preserve">                            </w:t>
      </w:r>
    </w:p>
    <w:p w14:paraId="66048E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开工日期：</w:t>
      </w:r>
      <w:r>
        <w:rPr>
          <w:rFonts w:hint="eastAsia" w:ascii="仿宋" w:hAnsi="仿宋" w:eastAsia="仿宋" w:cs="仿宋"/>
          <w:sz w:val="24"/>
          <w:szCs w:val="22"/>
          <w:u w:val="single"/>
        </w:rPr>
        <w:t></w:t>
      </w:r>
      <w:r>
        <w:rPr>
          <w:rFonts w:hint="eastAsia" w:ascii="仿宋" w:hAnsi="仿宋" w:eastAsia="仿宋" w:cs="仿宋"/>
          <w:sz w:val="24"/>
          <w:szCs w:val="22"/>
        </w:rPr>
        <w:t>年</w:t>
      </w:r>
      <w:r>
        <w:rPr>
          <w:rFonts w:hint="eastAsia" w:ascii="仿宋" w:hAnsi="仿宋" w:eastAsia="仿宋" w:cs="仿宋"/>
          <w:sz w:val="24"/>
          <w:szCs w:val="22"/>
          <w:u w:val="single"/>
        </w:rPr>
        <w:t></w:t>
      </w:r>
      <w:r>
        <w:rPr>
          <w:rFonts w:hint="eastAsia" w:ascii="仿宋" w:hAnsi="仿宋" w:eastAsia="仿宋" w:cs="仿宋"/>
          <w:sz w:val="24"/>
          <w:szCs w:val="22"/>
        </w:rPr>
        <w:t>月</w:t>
      </w:r>
      <w:r>
        <w:rPr>
          <w:rFonts w:hint="eastAsia" w:ascii="仿宋" w:hAnsi="仿宋" w:eastAsia="仿宋" w:cs="仿宋"/>
          <w:sz w:val="24"/>
          <w:szCs w:val="22"/>
          <w:u w:val="single"/>
        </w:rPr>
        <w:t></w:t>
      </w:r>
      <w:r>
        <w:rPr>
          <w:rFonts w:hint="eastAsia" w:ascii="仿宋" w:hAnsi="仿宋" w:eastAsia="仿宋" w:cs="仿宋"/>
          <w:sz w:val="24"/>
          <w:szCs w:val="22"/>
        </w:rPr>
        <w:t>日，竣工日期：</w:t>
      </w:r>
      <w:r>
        <w:rPr>
          <w:rFonts w:hint="eastAsia" w:ascii="仿宋" w:hAnsi="仿宋" w:eastAsia="仿宋" w:cs="仿宋"/>
          <w:sz w:val="24"/>
          <w:szCs w:val="22"/>
          <w:u w:val="single"/>
        </w:rPr>
        <w:t></w:t>
      </w:r>
      <w:r>
        <w:rPr>
          <w:rFonts w:hint="eastAsia" w:ascii="仿宋" w:hAnsi="仿宋" w:eastAsia="仿宋" w:cs="仿宋"/>
          <w:sz w:val="24"/>
          <w:szCs w:val="22"/>
        </w:rPr>
        <w:t>年</w:t>
      </w:r>
      <w:r>
        <w:rPr>
          <w:rFonts w:hint="eastAsia" w:ascii="仿宋" w:hAnsi="仿宋" w:eastAsia="仿宋" w:cs="仿宋"/>
          <w:sz w:val="24"/>
          <w:szCs w:val="22"/>
          <w:u w:val="single"/>
        </w:rPr>
        <w:t></w:t>
      </w:r>
      <w:r>
        <w:rPr>
          <w:rFonts w:hint="eastAsia" w:ascii="仿宋" w:hAnsi="仿宋" w:eastAsia="仿宋" w:cs="仿宋"/>
          <w:sz w:val="24"/>
          <w:szCs w:val="22"/>
        </w:rPr>
        <w:t>月</w:t>
      </w:r>
      <w:r>
        <w:rPr>
          <w:rFonts w:hint="eastAsia" w:ascii="仿宋" w:hAnsi="仿宋" w:eastAsia="仿宋" w:cs="仿宋"/>
          <w:sz w:val="24"/>
          <w:szCs w:val="22"/>
          <w:u w:val="single"/>
        </w:rPr>
        <w:t></w:t>
      </w:r>
      <w:r>
        <w:rPr>
          <w:rFonts w:hint="eastAsia" w:ascii="仿宋" w:hAnsi="仿宋" w:eastAsia="仿宋" w:cs="仿宋"/>
          <w:sz w:val="24"/>
          <w:szCs w:val="22"/>
        </w:rPr>
        <w:t>日。</w:t>
      </w:r>
    </w:p>
    <w:p w14:paraId="6D5CE86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2"/>
        </w:rPr>
      </w:pPr>
      <w:r>
        <w:rPr>
          <w:rFonts w:hint="eastAsia" w:ascii="仿宋" w:hAnsi="仿宋" w:eastAsia="仿宋" w:cs="仿宋"/>
          <w:b/>
          <w:bCs/>
          <w:sz w:val="24"/>
          <w:szCs w:val="22"/>
        </w:rPr>
        <w:t>三、项目经理</w:t>
      </w:r>
    </w:p>
    <w:p w14:paraId="654074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承包人项目经理：</w:t>
      </w:r>
      <w:r>
        <w:rPr>
          <w:rFonts w:hint="eastAsia" w:ascii="仿宋" w:hAnsi="仿宋" w:eastAsia="仿宋" w:cs="仿宋"/>
          <w:sz w:val="24"/>
          <w:szCs w:val="22"/>
          <w:u w:val="single"/>
        </w:rPr>
        <w:t xml:space="preserve">             </w:t>
      </w:r>
      <w:r>
        <w:rPr>
          <w:rFonts w:hint="eastAsia" w:ascii="仿宋" w:hAnsi="仿宋" w:eastAsia="仿宋" w:cs="仿宋"/>
          <w:sz w:val="24"/>
          <w:szCs w:val="22"/>
        </w:rPr>
        <w:t>。项目经理无正当理由不得更换，否则发包人有权解除本合同并由承包人承担由此带来的全部损失。</w:t>
      </w:r>
    </w:p>
    <w:p w14:paraId="7E0A791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2"/>
        </w:rPr>
      </w:pPr>
      <w:bookmarkStart w:id="2" w:name="_Toc351203483"/>
      <w:r>
        <w:rPr>
          <w:rFonts w:hint="eastAsia" w:ascii="仿宋" w:hAnsi="仿宋" w:eastAsia="仿宋" w:cs="仿宋"/>
          <w:b/>
          <w:bCs/>
          <w:sz w:val="24"/>
          <w:szCs w:val="22"/>
        </w:rPr>
        <w:t>四、质量</w:t>
      </w:r>
      <w:bookmarkEnd w:id="2"/>
      <w:r>
        <w:rPr>
          <w:rFonts w:hint="eastAsia" w:ascii="仿宋" w:hAnsi="仿宋" w:eastAsia="仿宋" w:cs="仿宋"/>
          <w:b/>
          <w:bCs/>
          <w:sz w:val="24"/>
          <w:szCs w:val="22"/>
        </w:rPr>
        <w:t>要求</w:t>
      </w:r>
    </w:p>
    <w:p w14:paraId="37810B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lang w:eastAsia="zh-CN"/>
        </w:rPr>
      </w:pPr>
      <w:bookmarkStart w:id="3" w:name="_Toc351203484"/>
      <w:r>
        <w:rPr>
          <w:rFonts w:hint="eastAsia" w:ascii="仿宋" w:hAnsi="仿宋" w:eastAsia="仿宋" w:cs="仿宋"/>
          <w:sz w:val="24"/>
          <w:szCs w:val="22"/>
        </w:rPr>
        <w:t>1．本工程质量：合格（达到国家强制性合格标准）</w:t>
      </w:r>
      <w:r>
        <w:rPr>
          <w:rFonts w:hint="eastAsia" w:ascii="仿宋" w:hAnsi="仿宋" w:eastAsia="仿宋" w:cs="仿宋"/>
          <w:sz w:val="24"/>
          <w:szCs w:val="22"/>
          <w:lang w:eastAsia="zh-CN"/>
        </w:rPr>
        <w:t>。</w:t>
      </w:r>
    </w:p>
    <w:p w14:paraId="21D9E6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2．承包人必须严格按照</w:t>
      </w:r>
      <w:r>
        <w:rPr>
          <w:rFonts w:hint="eastAsia" w:ascii="仿宋" w:hAnsi="仿宋" w:eastAsia="仿宋" w:cs="仿宋"/>
          <w:sz w:val="24"/>
          <w:szCs w:val="22"/>
          <w:lang w:eastAsia="zh-CN"/>
        </w:rPr>
        <w:t>磋商文件</w:t>
      </w:r>
      <w:r>
        <w:rPr>
          <w:rFonts w:hint="eastAsia" w:ascii="仿宋" w:hAnsi="仿宋" w:eastAsia="仿宋" w:cs="仿宋"/>
          <w:sz w:val="24"/>
          <w:szCs w:val="22"/>
        </w:rPr>
        <w:t>和建筑工程规范、规程和标准进行施工，并接受发包人代表及监理人员的管理和监督。</w:t>
      </w:r>
    </w:p>
    <w:p w14:paraId="7CBDC9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3．承包人应严格按照质量验收标准对工程组织施工。工程完工应会同发包人进行验收。竣工资料（一式三份），逾期未提交，每天按总造价万分之三向发包人支付违约金。</w:t>
      </w:r>
    </w:p>
    <w:p w14:paraId="268902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4．工程竣工后，承包人应按规定对工程进行保修，自工程竣工验收合格之日进入工程质量保修期，质量保修期2年。</w:t>
      </w:r>
    </w:p>
    <w:bookmarkEnd w:id="3"/>
    <w:p w14:paraId="13A3E13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sz w:val="24"/>
          <w:szCs w:val="22"/>
        </w:rPr>
      </w:pPr>
      <w:r>
        <w:rPr>
          <w:rFonts w:hint="eastAsia" w:ascii="仿宋" w:hAnsi="仿宋" w:eastAsia="仿宋" w:cs="仿宋"/>
          <w:b/>
          <w:bCs/>
          <w:sz w:val="24"/>
          <w:szCs w:val="22"/>
        </w:rPr>
        <w:t>五、</w:t>
      </w:r>
      <w:r>
        <w:rPr>
          <w:rFonts w:hint="eastAsia" w:ascii="仿宋" w:hAnsi="仿宋" w:eastAsia="仿宋" w:cs="仿宋"/>
          <w:b/>
          <w:bCs/>
          <w:sz w:val="24"/>
          <w:szCs w:val="22"/>
          <w:lang w:val="en-US" w:eastAsia="zh-CN"/>
        </w:rPr>
        <w:t>预付款及</w:t>
      </w:r>
      <w:r>
        <w:rPr>
          <w:rFonts w:hint="eastAsia" w:ascii="仿宋" w:hAnsi="仿宋" w:eastAsia="仿宋" w:cs="仿宋"/>
          <w:b/>
          <w:bCs/>
          <w:sz w:val="24"/>
          <w:szCs w:val="22"/>
        </w:rPr>
        <w:t>工程款的支付</w:t>
      </w:r>
      <w:r>
        <w:rPr>
          <w:rFonts w:hint="eastAsia" w:ascii="仿宋" w:hAnsi="仿宋" w:eastAsia="仿宋" w:cs="仿宋"/>
          <w:sz w:val="24"/>
          <w:szCs w:val="22"/>
        </w:rPr>
        <w:tab/>
      </w:r>
    </w:p>
    <w:p w14:paraId="51571500">
      <w:pPr>
        <w:pStyle w:val="8"/>
        <w:spacing w:line="360" w:lineRule="auto"/>
        <w:ind w:firstLine="480" w:firstLineChars="200"/>
        <w:rPr>
          <w:rFonts w:hint="eastAsia" w:ascii="仿宋" w:hAnsi="仿宋" w:eastAsia="仿宋" w:cs="仿宋"/>
          <w:sz w:val="24"/>
          <w:szCs w:val="22"/>
          <w:lang w:val="en-US" w:eastAsia="zh-CN"/>
        </w:rPr>
      </w:pPr>
      <w:r>
        <w:rPr>
          <w:rFonts w:hint="eastAsia" w:ascii="仿宋" w:hAnsi="仿宋" w:eastAsia="仿宋" w:cs="仿宋"/>
          <w:sz w:val="24"/>
          <w:szCs w:val="22"/>
          <w:lang w:val="en-US" w:eastAsia="zh-CN"/>
        </w:rPr>
        <w:t>工程竣工验收合格，经甲方审计后一次性支付，最终支付金额以审计定案金额为准。乙方向甲方提供与合同相符的单位、开户行及银行账号的有效税务发票，甲方按照财务手续，一次性支付工程款。结算以成交供应商一次磋商报价中的各项单价结合合同约定的调价方式进行组价×（1-下浮率）据实结算，下浮率=[（一次磋商报价（不含工程暂列金金额）-最后磋商报价（不含工程暂列金金额）/一次磋商报价]*100%。</w:t>
      </w:r>
    </w:p>
    <w:p w14:paraId="23BD659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2"/>
          <w:lang w:val="en-US" w:eastAsia="zh-CN"/>
        </w:rPr>
      </w:pPr>
      <w:r>
        <w:rPr>
          <w:rFonts w:hint="eastAsia" w:ascii="仿宋" w:hAnsi="仿宋" w:eastAsia="仿宋" w:cs="仿宋"/>
          <w:b/>
          <w:bCs/>
          <w:sz w:val="24"/>
          <w:szCs w:val="22"/>
          <w:lang w:val="en-US" w:eastAsia="zh-CN"/>
        </w:rPr>
        <w:t>六、履约保证金</w:t>
      </w:r>
    </w:p>
    <w:p w14:paraId="279C3D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highlight w:val="none"/>
        </w:rPr>
      </w:pPr>
      <w:r>
        <w:rPr>
          <w:rFonts w:hint="eastAsia" w:ascii="仿宋" w:hAnsi="仿宋" w:eastAsia="仿宋" w:cs="仿宋"/>
          <w:sz w:val="24"/>
          <w:szCs w:val="22"/>
          <w:highlight w:val="none"/>
        </w:rPr>
        <w:t>履约保证金：中标/成交供应商在与采购人签订合同前，须缴纳履约保证金；履约保证金金额为成交金额的3%。</w:t>
      </w:r>
      <w:r>
        <w:rPr>
          <w:rFonts w:hint="eastAsia" w:ascii="仿宋" w:hAnsi="仿宋" w:eastAsia="仿宋" w:cs="仿宋"/>
          <w:sz w:val="24"/>
          <w:szCs w:val="24"/>
          <w:highlight w:val="none"/>
          <w:lang w:val="en-US" w:eastAsia="zh-CN"/>
        </w:rPr>
        <w:t>质保期满后30天内无质量服务问题予以退还（无息）。</w:t>
      </w:r>
    </w:p>
    <w:p w14:paraId="4A749BE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2"/>
          <w:lang w:val="en-US" w:eastAsia="zh-CN"/>
        </w:rPr>
      </w:pPr>
      <w:r>
        <w:rPr>
          <w:rFonts w:hint="eastAsia" w:ascii="仿宋" w:hAnsi="仿宋" w:eastAsia="仿宋" w:cs="仿宋"/>
          <w:b/>
          <w:bCs/>
          <w:sz w:val="24"/>
          <w:szCs w:val="22"/>
          <w:lang w:val="en-US" w:eastAsia="zh-CN"/>
        </w:rPr>
        <w:t>七、承包人义务</w:t>
      </w:r>
    </w:p>
    <w:p w14:paraId="67E532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承包人提交的竣工资料的内容</w:t>
      </w:r>
      <w:r>
        <w:rPr>
          <w:rFonts w:hint="eastAsia" w:ascii="仿宋" w:hAnsi="仿宋" w:eastAsia="仿宋" w:cs="仿宋"/>
          <w:sz w:val="24"/>
          <w:szCs w:val="22"/>
          <w:lang w:eastAsia="zh-CN"/>
        </w:rPr>
        <w:t>：</w:t>
      </w:r>
      <w:r>
        <w:rPr>
          <w:rFonts w:hint="eastAsia" w:ascii="仿宋" w:hAnsi="仿宋" w:eastAsia="仿宋" w:cs="仿宋"/>
          <w:sz w:val="24"/>
          <w:szCs w:val="22"/>
        </w:rPr>
        <w:t>满足现行法律法规规定、</w:t>
      </w:r>
      <w:r>
        <w:rPr>
          <w:rFonts w:hint="eastAsia" w:ascii="仿宋" w:hAnsi="仿宋" w:eastAsia="仿宋" w:cs="仿宋"/>
          <w:sz w:val="24"/>
          <w:szCs w:val="22"/>
          <w:lang w:val="en-US" w:eastAsia="zh-CN"/>
        </w:rPr>
        <w:t>发包人及建设行政主管部门</w:t>
      </w:r>
      <w:r>
        <w:rPr>
          <w:rFonts w:hint="eastAsia" w:ascii="仿宋" w:hAnsi="仿宋" w:eastAsia="仿宋" w:cs="仿宋"/>
          <w:sz w:val="24"/>
          <w:szCs w:val="22"/>
        </w:rPr>
        <w:t>要求的竣工资料的要求。</w:t>
      </w:r>
    </w:p>
    <w:p w14:paraId="77FA02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承包人需要提交的竣工资料套数：</w:t>
      </w:r>
      <w:r>
        <w:rPr>
          <w:rFonts w:hint="eastAsia" w:ascii="仿宋" w:hAnsi="仿宋" w:eastAsia="仿宋" w:cs="仿宋"/>
          <w:sz w:val="24"/>
          <w:szCs w:val="22"/>
          <w:lang w:val="en-US" w:eastAsia="zh-CN"/>
        </w:rPr>
        <w:t>执行发包人及建设行政主管部门实际要求</w:t>
      </w:r>
      <w:r>
        <w:rPr>
          <w:rFonts w:hint="eastAsia" w:ascii="仿宋" w:hAnsi="仿宋" w:eastAsia="仿宋" w:cs="仿宋"/>
          <w:sz w:val="24"/>
          <w:szCs w:val="22"/>
        </w:rPr>
        <w:t>。</w:t>
      </w:r>
    </w:p>
    <w:p w14:paraId="6F2856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承包人提交的竣工资料的费用承担：已包含在合同价款中。</w:t>
      </w:r>
    </w:p>
    <w:p w14:paraId="49E881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承包人提交的竣工资料移交时间：竣工验收后一个月内，</w:t>
      </w:r>
      <w:r>
        <w:rPr>
          <w:rFonts w:hint="eastAsia" w:ascii="仿宋" w:hAnsi="仿宋" w:eastAsia="仿宋" w:cs="仿宋"/>
          <w:sz w:val="24"/>
          <w:szCs w:val="22"/>
          <w:lang w:val="en-US" w:eastAsia="zh-CN"/>
        </w:rPr>
        <w:t>递交</w:t>
      </w:r>
      <w:r>
        <w:rPr>
          <w:rFonts w:hint="eastAsia" w:ascii="仿宋" w:hAnsi="仿宋" w:eastAsia="仿宋" w:cs="仿宋"/>
          <w:sz w:val="24"/>
          <w:szCs w:val="22"/>
        </w:rPr>
        <w:t>符合</w:t>
      </w:r>
      <w:r>
        <w:rPr>
          <w:rFonts w:hint="eastAsia" w:ascii="仿宋" w:hAnsi="仿宋" w:eastAsia="仿宋" w:cs="仿宋"/>
          <w:sz w:val="24"/>
          <w:szCs w:val="22"/>
          <w:lang w:val="en-US" w:eastAsia="zh-CN"/>
        </w:rPr>
        <w:t>发包人</w:t>
      </w:r>
      <w:r>
        <w:rPr>
          <w:rFonts w:hint="eastAsia" w:ascii="仿宋" w:hAnsi="仿宋" w:eastAsia="仿宋" w:cs="仿宋"/>
          <w:sz w:val="24"/>
          <w:szCs w:val="22"/>
        </w:rPr>
        <w:t>及当地城建档案部门要求的合格竣工图及竣工资料文件。</w:t>
      </w:r>
    </w:p>
    <w:p w14:paraId="04B5C4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承包人提交的竣工资料形式要求：符合</w:t>
      </w:r>
      <w:r>
        <w:rPr>
          <w:rFonts w:hint="eastAsia" w:ascii="仿宋" w:hAnsi="仿宋" w:eastAsia="仿宋" w:cs="仿宋"/>
          <w:sz w:val="24"/>
          <w:szCs w:val="22"/>
          <w:lang w:val="en-US" w:eastAsia="zh-CN"/>
        </w:rPr>
        <w:t>发包人</w:t>
      </w:r>
      <w:r>
        <w:rPr>
          <w:rFonts w:hint="eastAsia" w:ascii="仿宋" w:hAnsi="仿宋" w:eastAsia="仿宋" w:cs="仿宋"/>
          <w:sz w:val="24"/>
          <w:szCs w:val="22"/>
        </w:rPr>
        <w:t>及当地城建档案部门要求的合格竣工图及</w:t>
      </w:r>
      <w:r>
        <w:rPr>
          <w:rFonts w:hint="eastAsia" w:ascii="仿宋" w:hAnsi="仿宋" w:eastAsia="仿宋" w:cs="仿宋"/>
          <w:sz w:val="24"/>
          <w:szCs w:val="22"/>
          <w:lang w:val="en-US" w:eastAsia="zh-CN"/>
        </w:rPr>
        <w:t>工程</w:t>
      </w:r>
      <w:r>
        <w:rPr>
          <w:rFonts w:hint="eastAsia" w:ascii="仿宋" w:hAnsi="仿宋" w:eastAsia="仿宋" w:cs="仿宋"/>
          <w:sz w:val="24"/>
          <w:szCs w:val="22"/>
        </w:rPr>
        <w:t>竣工资料。</w:t>
      </w:r>
    </w:p>
    <w:p w14:paraId="014583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承包人应履行的其他义务：</w:t>
      </w:r>
    </w:p>
    <w:p w14:paraId="71C558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①承包人必须根据省、市及所在地相关部门颁发的文明施工规定和国家有关安全施工的各种规范要求，精心组织施工，贯彻“谁施工，谁负责” 的原则。由于承包人违反操作规程施工所造成的一切损失，均由承包人承担，发包人有权在进度付款中扣除相关费用，并不予返还。</w:t>
      </w:r>
    </w:p>
    <w:p w14:paraId="2DDF03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②承包人负责根据工程需要，提供场地的安全保卫及交通巡查等必要的照明、危险物的警示、围栏设施等；负责施工现场的防火、防盗及施工安全保卫工作，并承担由此产生的费用。承包人应严格按照</w:t>
      </w:r>
      <w:r>
        <w:rPr>
          <w:rFonts w:hint="eastAsia" w:ascii="仿宋" w:hAnsi="仿宋" w:eastAsia="仿宋" w:cs="仿宋"/>
          <w:sz w:val="24"/>
          <w:szCs w:val="22"/>
          <w:lang w:val="en-US" w:eastAsia="zh-CN"/>
        </w:rPr>
        <w:t>现行有效的</w:t>
      </w:r>
      <w:r>
        <w:rPr>
          <w:rFonts w:hint="eastAsia" w:ascii="仿宋" w:hAnsi="仿宋" w:eastAsia="仿宋" w:cs="仿宋"/>
          <w:sz w:val="24"/>
          <w:szCs w:val="22"/>
        </w:rPr>
        <w:t>《施工现场临时用电安全技术规范》和《建设工程施工现场供用电安全规范 》组织施工，相关费用已包含在合同协议所确定的合同价款中。因承包人未能按照上述规范组织施工，发包人有权根据现场实际情况在工程付款中扣除相关费用，并不予返还。</w:t>
      </w:r>
    </w:p>
    <w:p w14:paraId="090032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③为发包人代表提供</w:t>
      </w:r>
      <w:r>
        <w:rPr>
          <w:rFonts w:hint="eastAsia" w:ascii="仿宋" w:hAnsi="仿宋" w:eastAsia="仿宋" w:cs="仿宋"/>
          <w:sz w:val="24"/>
          <w:szCs w:val="22"/>
          <w:lang w:val="en-US" w:eastAsia="zh-CN"/>
        </w:rPr>
        <w:t>办公条件</w:t>
      </w:r>
      <w:r>
        <w:rPr>
          <w:rFonts w:hint="eastAsia" w:ascii="仿宋" w:hAnsi="仿宋" w:eastAsia="仿宋" w:cs="仿宋"/>
          <w:sz w:val="24"/>
          <w:szCs w:val="22"/>
        </w:rPr>
        <w:t>，其费用已含在合同价款内，发包人不再单独支付此部分费用。</w:t>
      </w:r>
    </w:p>
    <w:p w14:paraId="22A091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④遵守政府有关主管部门对施工场地安全防护、文明施工、环境保护以及场地交通的管理规定，按规定办理有关手续，费用已包含在合同价款当中。在施工过程中严格落实粉尘、废水等污染防治措施及生态保护、水土保持措施。否则，由此发生的费用及由于承包人责任造成的罚款由承包人负责。</w:t>
      </w:r>
    </w:p>
    <w:p w14:paraId="30180E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⑤承包人按照有关法律、规范、规程的规定进行成品保护，所需的费用都已包含在合同价款当中。</w:t>
      </w:r>
    </w:p>
    <w:p w14:paraId="2919AD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⑥在工程移交发包人之前，对承包人已完工程的保护工作及费用均由承包人负责，发生损坏由承包人自费修复；</w:t>
      </w:r>
    </w:p>
    <w:p w14:paraId="396758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⑦承包人对发包人指定分包的单位在成品保护方面具有管理权，施工时若因保护不力而产生的责任由承包人承担。</w:t>
      </w:r>
    </w:p>
    <w:p w14:paraId="37FD42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⑧承包人进现场后，负责做好施工过程中的安全、保卫、防火、</w:t>
      </w:r>
      <w:r>
        <w:rPr>
          <w:rFonts w:hint="eastAsia" w:ascii="仿宋" w:hAnsi="仿宋" w:eastAsia="仿宋" w:cs="仿宋"/>
          <w:sz w:val="24"/>
          <w:szCs w:val="22"/>
          <w:lang w:val="en-US" w:eastAsia="zh-CN"/>
        </w:rPr>
        <w:t>人员</w:t>
      </w:r>
      <w:r>
        <w:rPr>
          <w:rFonts w:hint="eastAsia" w:ascii="仿宋" w:hAnsi="仿宋" w:eastAsia="仿宋" w:cs="仿宋"/>
          <w:sz w:val="24"/>
          <w:szCs w:val="22"/>
        </w:rPr>
        <w:t>安全文明教育等工作，遵守</w:t>
      </w:r>
      <w:r>
        <w:rPr>
          <w:rFonts w:hint="eastAsia" w:ascii="仿宋" w:hAnsi="仿宋" w:eastAsia="仿宋" w:cs="仿宋"/>
          <w:sz w:val="24"/>
          <w:szCs w:val="22"/>
          <w:lang w:val="en-US" w:eastAsia="zh-CN"/>
        </w:rPr>
        <w:t>发包人</w:t>
      </w:r>
      <w:r>
        <w:rPr>
          <w:rFonts w:hint="eastAsia" w:ascii="仿宋" w:hAnsi="仿宋" w:eastAsia="仿宋" w:cs="仿宋"/>
          <w:sz w:val="24"/>
          <w:szCs w:val="22"/>
        </w:rPr>
        <w:t>的各项规章制度，若在施工期间发生影响</w:t>
      </w:r>
      <w:r>
        <w:rPr>
          <w:rFonts w:hint="eastAsia" w:ascii="仿宋" w:hAnsi="仿宋" w:eastAsia="仿宋" w:cs="仿宋"/>
          <w:sz w:val="24"/>
          <w:szCs w:val="22"/>
          <w:lang w:val="en-US" w:eastAsia="zh-CN"/>
        </w:rPr>
        <w:t>施工所在地</w:t>
      </w:r>
      <w:r>
        <w:rPr>
          <w:rFonts w:hint="eastAsia" w:ascii="仿宋" w:hAnsi="仿宋" w:eastAsia="仿宋" w:cs="仿宋"/>
          <w:sz w:val="24"/>
          <w:szCs w:val="22"/>
        </w:rPr>
        <w:t>环境、安全事件，根据情况追究承包人的法律责任。若在施工过程中，对现有设施造成损坏的，应负责免费维修并处以相应罚款。</w:t>
      </w:r>
    </w:p>
    <w:p w14:paraId="5A2288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⑨承包人须无条件配合发包人办理本项目的报建、报验等手续。</w:t>
      </w:r>
    </w:p>
    <w:p w14:paraId="3B0C08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⑩在施工期间，承包人应负责自行解决在工程施工过程出现的一切干扰问题，协调与当地的居民关系，接受并配合有关建设、市政、市容、环保、消防、供电等部门的管理，积极主动做好相关工作，确保工期和工程的正常运行，并承担因此而产生的一切费用。</w:t>
      </w:r>
    </w:p>
    <w:p w14:paraId="0AB90A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⑪承包人需为本项目发包人的分包商提供生产及生活条件，如材料堆放场地、生活用水用电、施工用水用电接口、脚手架、垂直运输工具或通道、室外道路、门卫管理、现场保卫工作等，费用自行协商。</w:t>
      </w:r>
    </w:p>
    <w:p w14:paraId="7CCCA0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⑫图纸交底前及施工过程中，承包人须配齐专业人员仔细阅读图纸，对各专业图纸进行核对，对图纸存在的错碰漏(包括任何工程定位的抵触及是否有足够的维修空间等)及时向发包人提出，经书面答复后方可施工。</w:t>
      </w:r>
    </w:p>
    <w:p w14:paraId="653A24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⑬承包人负责整个工程竣工资料的汇编（含</w:t>
      </w:r>
      <w:r>
        <w:rPr>
          <w:rFonts w:hint="eastAsia" w:ascii="仿宋" w:hAnsi="仿宋" w:eastAsia="仿宋" w:cs="仿宋"/>
          <w:sz w:val="24"/>
          <w:szCs w:val="22"/>
          <w:lang w:val="en-US" w:eastAsia="zh-CN"/>
        </w:rPr>
        <w:t>发包人</w:t>
      </w:r>
      <w:r>
        <w:rPr>
          <w:rFonts w:hint="eastAsia" w:ascii="仿宋" w:hAnsi="仿宋" w:eastAsia="仿宋" w:cs="仿宋"/>
          <w:sz w:val="24"/>
          <w:szCs w:val="22"/>
        </w:rPr>
        <w:t>指定分包工程）。</w:t>
      </w:r>
    </w:p>
    <w:p w14:paraId="3E5E2F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⑭承包人必须无条件确保农民工工资得到及时发放，无拖欠农民工工资现象，并采取发包人认为切实可行的措施确保无劳资纠纷事件发生。进行劳务作业的承包人与本合同中的承包人签订劳务分包合同后，若劳务作业的实际施工人向发包人申诉主张权利的，承包人应在接到发包人书面通知的三日内解决该纠纷，否则发包人有权在审定的范围内或者人民法院判定的范围内向实际施工人支付欠付的劳务费。发包人代支的劳务费除了从当期工程款内直接扣除外, 承包人须按照发包人所垫付的劳务费4倍向发包人支付违约金，违约金在下期进度款和结算中扣除。若发生农民工堵门、堵路、干扰发包人人员正常工作秩序等现象以及发包人无违约情况但因承包人原因被列为被告，承包人同意支付 10000 元/次违约金。</w:t>
      </w:r>
    </w:p>
    <w:p w14:paraId="099EB8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lang w:val="en-US" w:eastAsia="zh-CN"/>
        </w:rPr>
      </w:pPr>
      <w:r>
        <w:rPr>
          <w:rFonts w:hint="eastAsia" w:ascii="仿宋" w:hAnsi="仿宋" w:eastAsia="仿宋" w:cs="仿宋"/>
          <w:sz w:val="24"/>
          <w:szCs w:val="22"/>
        </w:rPr>
        <w:t>⑮</w:t>
      </w:r>
      <w:r>
        <w:rPr>
          <w:rFonts w:hint="eastAsia" w:ascii="仿宋" w:hAnsi="仿宋" w:eastAsia="仿宋" w:cs="仿宋"/>
          <w:sz w:val="24"/>
          <w:szCs w:val="22"/>
          <w:lang w:val="en-US" w:eastAsia="zh-CN"/>
        </w:rPr>
        <w:t>由承包人采购供应的材料与设备在采购前，须提前向发包人申报购买计划，注明购买产品的规格、型号、数量、品牌与厂家等，必要时还应提供样品（涉及到花色、外观的必须提供至少3种样品），经发包人和监理人认可后方可购买，否则按不合格品处理，并拒绝支付该项费用。承包人在采购时，应按照合同约定及设计和有关标准要求(如：材料、设备的推荐品牌)采购，材料进场必须三证（出厂证明、质量检验证、产品合格证）齐全。承包人在建筑物资与设备到货24小时以前通知发包人及监理验收。</w:t>
      </w:r>
    </w:p>
    <w:p w14:paraId="22A2CE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lang w:val="en-US" w:eastAsia="zh-CN"/>
        </w:rPr>
      </w:pPr>
      <w:r>
        <w:rPr>
          <w:rFonts w:hint="eastAsia" w:ascii="仿宋" w:hAnsi="仿宋" w:eastAsia="仿宋" w:cs="仿宋"/>
          <w:sz w:val="24"/>
          <w:szCs w:val="22"/>
          <w:lang w:val="en-US" w:eastAsia="zh-CN"/>
        </w:rPr>
        <w:t>a.承包人采购供应的材料与设备，如与合同约定及设计和有关标准要求不符时，承包人应按发包人要求的时间运出施工场地，重新采购符合要求的产品，并承担由此发生的费用，由此延误的工期不予顺延。</w:t>
      </w:r>
    </w:p>
    <w:p w14:paraId="4A5DDE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lang w:val="en-US" w:eastAsia="zh-CN"/>
        </w:rPr>
      </w:pPr>
      <w:r>
        <w:rPr>
          <w:rFonts w:hint="eastAsia" w:ascii="仿宋" w:hAnsi="仿宋" w:eastAsia="仿宋" w:cs="仿宋"/>
          <w:sz w:val="24"/>
          <w:szCs w:val="22"/>
          <w:lang w:val="en-US" w:eastAsia="zh-CN"/>
        </w:rPr>
        <w:t>b.承包人采购供应的材料与设备在使用前，承包人应按发包人的要求进行检验或试验，不合格的不得使用，检验或试验费用由承包人承担。</w:t>
      </w:r>
    </w:p>
    <w:p w14:paraId="6604D9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lang w:val="en-US" w:eastAsia="zh-CN"/>
        </w:rPr>
      </w:pPr>
      <w:r>
        <w:rPr>
          <w:rFonts w:hint="eastAsia" w:ascii="仿宋" w:hAnsi="仿宋" w:eastAsia="仿宋" w:cs="仿宋"/>
          <w:sz w:val="24"/>
          <w:szCs w:val="22"/>
          <w:lang w:val="en-US" w:eastAsia="zh-CN"/>
        </w:rPr>
        <w:t>c.发包人发现承包人采购并使用不符和合同约定及设计和有关标准要求的材料与设备时，承包人应予以拆除并重新采购，费用由承包人承担，同时按照材料与设备款项的5%处以罚款，由此延误的工期不予顺延。</w:t>
      </w:r>
    </w:p>
    <w:p w14:paraId="411ED79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2"/>
        </w:rPr>
      </w:pPr>
      <w:r>
        <w:rPr>
          <w:rFonts w:hint="eastAsia" w:ascii="仿宋" w:hAnsi="仿宋" w:eastAsia="仿宋" w:cs="仿宋"/>
          <w:b/>
          <w:bCs/>
          <w:sz w:val="24"/>
          <w:szCs w:val="22"/>
          <w:lang w:val="en-US" w:eastAsia="zh-CN"/>
        </w:rPr>
        <w:t>八、</w:t>
      </w:r>
      <w:r>
        <w:rPr>
          <w:rFonts w:hint="eastAsia" w:ascii="仿宋" w:hAnsi="仿宋" w:eastAsia="仿宋" w:cs="仿宋"/>
          <w:b/>
          <w:bCs/>
          <w:sz w:val="24"/>
          <w:szCs w:val="22"/>
        </w:rPr>
        <w:t>工期延误</w:t>
      </w:r>
    </w:p>
    <w:p w14:paraId="1D15C2F7">
      <w:pPr>
        <w:pageBreakBefore w:val="0"/>
        <w:widowControl w:val="0"/>
        <w:kinsoku/>
        <w:wordWrap/>
        <w:overflowPunct/>
        <w:topLinePunct w:val="0"/>
        <w:bidi w:val="0"/>
        <w:snapToGrid/>
        <w:spacing w:line="360" w:lineRule="auto"/>
        <w:ind w:firstLine="560"/>
        <w:textAlignment w:val="auto"/>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因发包人原因导致工期延误：发包人顺延工期，费用不予</w:t>
      </w:r>
      <w:r>
        <w:rPr>
          <w:rFonts w:hint="eastAsia" w:ascii="仿宋" w:hAnsi="仿宋" w:eastAsia="仿宋" w:cs="仿宋"/>
          <w:sz w:val="24"/>
          <w:szCs w:val="24"/>
          <w:highlight w:val="none"/>
        </w:rPr>
        <w:t>增加。</w:t>
      </w:r>
    </w:p>
    <w:p w14:paraId="1F98C92A">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single"/>
          <w:lang w:val="en-US" w:eastAsia="zh-CN"/>
        </w:rPr>
      </w:pPr>
      <w:bookmarkStart w:id="4" w:name="_Toc300934970"/>
      <w:bookmarkStart w:id="5" w:name="_Toc303539127"/>
      <w:bookmarkStart w:id="6" w:name="_Toc297216177"/>
      <w:bookmarkStart w:id="7" w:name="_Toc297123518"/>
      <w:bookmarkStart w:id="8" w:name="_Toc304295548"/>
      <w:r>
        <w:rPr>
          <w:rFonts w:hint="eastAsia" w:ascii="仿宋" w:hAnsi="仿宋" w:eastAsia="仿宋" w:cs="仿宋"/>
          <w:color w:val="000000"/>
          <w:sz w:val="24"/>
          <w:szCs w:val="24"/>
          <w:highlight w:val="none"/>
          <w:u w:val="single"/>
          <w:lang w:val="en-US" w:eastAsia="zh-CN"/>
        </w:rPr>
        <w:t>因</w:t>
      </w:r>
      <w:bookmarkStart w:id="9" w:name="_Toc312678013"/>
      <w:bookmarkStart w:id="10" w:name="_Toc318581170"/>
      <w:bookmarkStart w:id="11" w:name="_Toc312677487"/>
      <w:r>
        <w:rPr>
          <w:rFonts w:hint="eastAsia" w:ascii="仿宋" w:hAnsi="仿宋" w:eastAsia="仿宋" w:cs="仿宋"/>
          <w:color w:val="000000"/>
          <w:sz w:val="24"/>
          <w:szCs w:val="24"/>
          <w:highlight w:val="none"/>
          <w:u w:val="single"/>
          <w:lang w:val="en-US" w:eastAsia="zh-CN"/>
        </w:rPr>
        <w:t>承包人原因造成工期延误，逾期竣工违约金的计算方法为：承包人按发包要求的工期按时完成，每拖后一天同意支付2000元违约金，逐日累计；若因承包人原因影响发包人使用，另行赔偿由此给发包人造成的损失。</w:t>
      </w:r>
    </w:p>
    <w:p w14:paraId="69E8C5BF">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u w:val="single"/>
          <w:lang w:val="en-US" w:eastAsia="zh-CN"/>
        </w:rPr>
        <w:t>施工过程中工期延误2个月以上的，承包人仍未采取有效措施，或当承包人在总工期超过一个月内未完成本项目承包范围内施工内容，发包人有权利对分项工程进行单独分包，由发包人直接与具有相应资质的分包单位另行签订合同并结算，该部分工程量从承包范围中直接扣除，并向承包人追究相应的经济损失。</w:t>
      </w:r>
    </w:p>
    <w:bookmarkEnd w:id="4"/>
    <w:bookmarkEnd w:id="5"/>
    <w:bookmarkEnd w:id="6"/>
    <w:bookmarkEnd w:id="7"/>
    <w:bookmarkEnd w:id="8"/>
    <w:bookmarkEnd w:id="9"/>
    <w:bookmarkEnd w:id="10"/>
    <w:bookmarkEnd w:id="11"/>
    <w:p w14:paraId="5D1838F4">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u w:val="single"/>
          <w:lang w:val="en-US" w:eastAsia="zh-CN"/>
        </w:rPr>
        <w:t>因承包人原因造成工期延误，逾</w:t>
      </w:r>
      <w:bookmarkStart w:id="12" w:name="_Toc318581171"/>
      <w:bookmarkStart w:id="13" w:name="_Toc312678014"/>
      <w:r>
        <w:rPr>
          <w:rFonts w:hint="eastAsia" w:ascii="仿宋" w:hAnsi="仿宋" w:eastAsia="仿宋" w:cs="仿宋"/>
          <w:color w:val="000000"/>
          <w:sz w:val="24"/>
          <w:szCs w:val="24"/>
          <w:highlight w:val="none"/>
          <w:u w:val="single"/>
          <w:lang w:val="en-US" w:eastAsia="zh-CN"/>
        </w:rPr>
        <w:t>期竣工违约金的上限：合同价款的1%。</w:t>
      </w:r>
    </w:p>
    <w:bookmarkEnd w:id="12"/>
    <w:bookmarkEnd w:id="13"/>
    <w:p w14:paraId="02B4CF08">
      <w:pPr>
        <w:pageBreakBefore w:val="0"/>
        <w:widowControl w:val="0"/>
        <w:kinsoku/>
        <w:wordWrap/>
        <w:overflowPunct/>
        <w:topLinePunct w:val="0"/>
        <w:bidi w:val="0"/>
        <w:snapToGrid/>
        <w:spacing w:line="360" w:lineRule="auto"/>
        <w:ind w:firstLine="482" w:firstLineChars="200"/>
        <w:jc w:val="left"/>
        <w:textAlignment w:val="auto"/>
        <w:rPr>
          <w:rFonts w:hint="eastAsia" w:ascii="仿宋" w:hAnsi="仿宋" w:eastAsia="仿宋" w:cs="仿宋"/>
          <w:b/>
          <w:bCs/>
          <w:color w:val="000000"/>
          <w:sz w:val="24"/>
          <w:szCs w:val="24"/>
          <w:highlight w:val="none"/>
          <w:u w:val="none"/>
          <w:lang w:val="en-US" w:eastAsia="zh-CN"/>
        </w:rPr>
      </w:pPr>
      <w:r>
        <w:rPr>
          <w:rFonts w:hint="eastAsia" w:ascii="仿宋" w:hAnsi="仿宋" w:eastAsia="仿宋" w:cs="仿宋"/>
          <w:b/>
          <w:bCs/>
          <w:color w:val="000000"/>
          <w:sz w:val="24"/>
          <w:szCs w:val="24"/>
          <w:highlight w:val="none"/>
          <w:u w:val="none"/>
          <w:lang w:val="en-US" w:eastAsia="zh-CN"/>
        </w:rPr>
        <w:t>九、变更的范围及有关约定</w:t>
      </w:r>
    </w:p>
    <w:p w14:paraId="17A31922">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b w:val="0"/>
          <w:bCs w:val="0"/>
          <w:color w:val="000000"/>
          <w:sz w:val="24"/>
          <w:szCs w:val="24"/>
          <w:highlight w:val="none"/>
          <w:u w:val="none"/>
          <w:lang w:val="en-US" w:eastAsia="zh-CN"/>
        </w:rPr>
      </w:pPr>
      <w:r>
        <w:rPr>
          <w:rFonts w:hint="eastAsia" w:ascii="仿宋" w:hAnsi="仿宋" w:eastAsia="仿宋" w:cs="仿宋"/>
          <w:b w:val="0"/>
          <w:bCs w:val="0"/>
          <w:color w:val="000000"/>
          <w:sz w:val="24"/>
          <w:szCs w:val="24"/>
          <w:highlight w:val="none"/>
          <w:u w:val="none"/>
          <w:lang w:val="en-US" w:eastAsia="zh-CN"/>
        </w:rPr>
        <w:t>工程量清单错误的修正：</w:t>
      </w:r>
    </w:p>
    <w:p w14:paraId="7C7019C5">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u w:val="single"/>
          <w:lang w:val="en-US" w:eastAsia="zh-CN"/>
        </w:rPr>
        <w:t>由于承包人在投标过程中漏报、少报的工程量视为已经在报价时综合考虑，不予调整相应工程量及费用。</w:t>
      </w:r>
    </w:p>
    <w:p w14:paraId="236703A6">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u w:val="single"/>
          <w:lang w:val="en-US" w:eastAsia="zh-CN"/>
        </w:rPr>
        <w:t>由于发包人原因导致工程量增加或减少累计超过发标时工程量清单中相应子目工程量的15%时，对价格进行如下调整：当工程量增加时，超过原工程量15%的部分，综合单价按照原单价0.9倍和本项目最高投标限价中相应子目的单价×投标折扣×0.9两个单价中较低的计算；当工程量减少时，实际履行部分的综合单价不予调整。</w:t>
      </w:r>
    </w:p>
    <w:p w14:paraId="333F17E0">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u w:val="single"/>
          <w:lang w:val="en-US" w:eastAsia="zh-CN"/>
        </w:rPr>
        <w:t>发包人原因、发包人责任或法律法规政策性调整导致，且经发包人书面认可的变更事项作为变更处理。</w:t>
      </w:r>
    </w:p>
    <w:p w14:paraId="0A812D5E">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u w:val="single"/>
          <w:lang w:val="en-US" w:eastAsia="zh-CN"/>
        </w:rPr>
        <w:t>承包人在施工中提出的合理化建议涉及到对设计图纸或施工组织设计的更改及对材料、设备的换用，须经监理工程师审核后，报发包人批准后以设计变更单的形式通知承包人实施，否则不作为工程设计变更对待。</w:t>
      </w:r>
    </w:p>
    <w:p w14:paraId="42F41B67">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u w:val="single"/>
          <w:lang w:val="en-US" w:eastAsia="zh-CN"/>
        </w:rPr>
        <w:t>由于承包人在投标过程中漏报、少报的工程量视为已经在报价时综合考虑，不予调整相应工程量及费用。</w:t>
      </w:r>
    </w:p>
    <w:p w14:paraId="32A8E511">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u w:val="single"/>
          <w:lang w:val="en-US" w:eastAsia="zh-CN"/>
        </w:rPr>
        <w:t>关于变更估价的约定:变更内容在本项目已标价工程量清单中有相同或类似子目的，按照相同的或参照类似的子目确定综合单价，其中涉及工程量变化的，由于发包人原因导致工程量增加或减少累计超过发标时工程量清单中相应子目工程量的15%时，对价格进行如下调整：当工程量增加时，超过原工程量15%的部分，综合单价按照原单价0.9倍和本项目最高投标限价中相应子目的单价×投标折扣×0.9两个单价中较低的计算；当工程量减少时，实际履行部分的综合单价不予调整。</w:t>
      </w:r>
    </w:p>
    <w:p w14:paraId="03E6771A">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u w:val="single"/>
          <w:lang w:val="en-US" w:eastAsia="zh-CN"/>
        </w:rPr>
        <w:t>变更内容在本项目已标价工程量清单中无相同或类似子目的，按照本项目最高限价的编制原则并考虑投标折扣后确定。其中材料价格按照变更当期的《陕西工程造价信息（材料信息价）》结合市场价确定。</w:t>
      </w:r>
    </w:p>
    <w:p w14:paraId="06EA38F7">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u w:val="single"/>
          <w:lang w:val="en-US" w:eastAsia="zh-CN"/>
        </w:rPr>
        <w:t>变更导致的安全文明施工措施费及单价措施项目费按照本项目最高限价的编制原则并考虑投标下浮率确定，其他措施项目费不予调整。</w:t>
      </w:r>
    </w:p>
    <w:p w14:paraId="6A26496E">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b/>
          <w:bCs/>
          <w:color w:val="000000"/>
          <w:sz w:val="24"/>
          <w:szCs w:val="24"/>
          <w:highlight w:val="none"/>
          <w:u w:val="none"/>
          <w:lang w:val="en-US" w:eastAsia="zh-CN"/>
        </w:rPr>
      </w:pPr>
      <w:r>
        <w:rPr>
          <w:rFonts w:hint="eastAsia" w:ascii="仿宋" w:hAnsi="仿宋" w:eastAsia="仿宋" w:cs="仿宋"/>
          <w:b/>
          <w:bCs/>
          <w:color w:val="000000"/>
          <w:sz w:val="24"/>
          <w:szCs w:val="24"/>
          <w:highlight w:val="none"/>
          <w:u w:val="none"/>
          <w:lang w:val="en-US" w:eastAsia="zh-CN"/>
        </w:rPr>
        <w:t>十、市场价格波动引起的调整</w:t>
      </w:r>
    </w:p>
    <w:p w14:paraId="55A5BD08">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市场价格波动不调整合同价格</w:t>
      </w:r>
    </w:p>
    <w:p w14:paraId="7DCAC098">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b/>
          <w:bCs/>
          <w:color w:val="000000"/>
          <w:sz w:val="24"/>
          <w:szCs w:val="24"/>
          <w:highlight w:val="none"/>
          <w:u w:val="none"/>
          <w:lang w:val="en-US" w:eastAsia="zh-CN"/>
        </w:rPr>
      </w:pPr>
      <w:r>
        <w:rPr>
          <w:rFonts w:hint="eastAsia" w:ascii="仿宋" w:hAnsi="仿宋" w:eastAsia="仿宋" w:cs="仿宋"/>
          <w:b/>
          <w:bCs/>
          <w:color w:val="000000"/>
          <w:sz w:val="24"/>
          <w:szCs w:val="24"/>
          <w:highlight w:val="none"/>
          <w:u w:val="none"/>
          <w:lang w:val="en-US" w:eastAsia="zh-CN"/>
        </w:rPr>
        <w:t>十一、综合单价的风险范围及相关内容。</w:t>
      </w:r>
    </w:p>
    <w:p w14:paraId="64C01FF8">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u w:val="none"/>
          <w:lang w:val="en-US" w:eastAsia="zh-CN"/>
        </w:rPr>
        <w:t>综合单价包含的风险范围：</w:t>
      </w:r>
      <w:r>
        <w:rPr>
          <w:rFonts w:hint="eastAsia" w:ascii="仿宋" w:hAnsi="仿宋" w:eastAsia="仿宋" w:cs="仿宋"/>
          <w:color w:val="000000"/>
          <w:sz w:val="24"/>
          <w:szCs w:val="24"/>
          <w:highlight w:val="none"/>
          <w:u w:val="single"/>
          <w:lang w:val="en-US" w:eastAsia="zh-CN"/>
        </w:rPr>
        <w:t>除不可抗力以外的的自然灾害;非发包人原因造成的停水、停电的费用；非发包人原因造成停窝工相关费用；发包人在投标前及合同明示或暗示的风险及承包人的相应责任和义务等；本合同材料设备价格波动。</w:t>
      </w:r>
    </w:p>
    <w:p w14:paraId="02587A78">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u w:val="none"/>
          <w:lang w:val="en-US" w:eastAsia="zh-CN"/>
        </w:rPr>
        <w:t>风险费用的计算方法：</w:t>
      </w:r>
      <w:r>
        <w:rPr>
          <w:rFonts w:hint="eastAsia" w:ascii="仿宋" w:hAnsi="仿宋" w:eastAsia="仿宋" w:cs="仿宋"/>
          <w:color w:val="000000"/>
          <w:sz w:val="24"/>
          <w:szCs w:val="24"/>
          <w:highlight w:val="none"/>
          <w:u w:val="single"/>
          <w:lang w:val="en-US" w:eastAsia="zh-CN"/>
        </w:rPr>
        <w:t>风险费用已包含在合同价中，合同中确定的各项单价在工程实施期间不因价格变化而调整，即单价高低变化的风险由承包人承担。</w:t>
      </w:r>
    </w:p>
    <w:p w14:paraId="09665D73">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b/>
          <w:bCs/>
          <w:color w:val="000000"/>
          <w:sz w:val="24"/>
          <w:szCs w:val="24"/>
          <w:highlight w:val="none"/>
          <w:u w:val="none"/>
          <w:lang w:val="en-US" w:eastAsia="zh-CN"/>
        </w:rPr>
      </w:pPr>
      <w:r>
        <w:rPr>
          <w:rFonts w:hint="eastAsia" w:ascii="仿宋" w:hAnsi="仿宋" w:eastAsia="仿宋" w:cs="仿宋"/>
          <w:b/>
          <w:bCs/>
          <w:color w:val="000000"/>
          <w:sz w:val="24"/>
          <w:szCs w:val="24"/>
          <w:highlight w:val="none"/>
          <w:u w:val="none"/>
          <w:lang w:val="en-US" w:eastAsia="zh-CN"/>
        </w:rPr>
        <w:t>十二、安全文明施工与环境保护</w:t>
      </w:r>
    </w:p>
    <w:p w14:paraId="7A539D57">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承包人应遵守工程建设安全生产有关管理规定，严格按现行安全标准组织施工，并随时接受行业安全检查人员依法实施的监督检查，采取必要的安全防护措施，消除事故隐患。其安全施工防护费用已经含在合同价款内。</w:t>
      </w:r>
    </w:p>
    <w:p w14:paraId="6D6B8B20">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u w:val="none"/>
          <w:lang w:val="en-US" w:eastAsia="zh-CN"/>
        </w:rPr>
        <w:t>关于治安保卫的特别约定：</w:t>
      </w:r>
      <w:r>
        <w:rPr>
          <w:rFonts w:hint="eastAsia" w:ascii="仿宋" w:hAnsi="仿宋" w:eastAsia="仿宋" w:cs="仿宋"/>
          <w:color w:val="000000"/>
          <w:sz w:val="24"/>
          <w:szCs w:val="24"/>
          <w:highlight w:val="none"/>
          <w:u w:val="single"/>
          <w:lang w:val="en-US" w:eastAsia="zh-CN"/>
        </w:rPr>
        <w:t>由承包人编制，开工前提供。</w:t>
      </w:r>
    </w:p>
    <w:p w14:paraId="5C453E1E">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u w:val="none"/>
          <w:lang w:val="en-US" w:eastAsia="zh-CN"/>
        </w:rPr>
        <w:t>关于编制施工场地治安管理计划的约定：</w:t>
      </w:r>
      <w:r>
        <w:rPr>
          <w:rFonts w:hint="eastAsia" w:ascii="仿宋" w:hAnsi="仿宋" w:eastAsia="仿宋" w:cs="仿宋"/>
          <w:color w:val="000000"/>
          <w:sz w:val="24"/>
          <w:szCs w:val="24"/>
          <w:highlight w:val="none"/>
          <w:u w:val="single"/>
          <w:lang w:val="en-US" w:eastAsia="zh-CN"/>
        </w:rPr>
        <w:t>由承包人编制，开工前提供。</w:t>
      </w:r>
    </w:p>
    <w:p w14:paraId="140C4B2C">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u w:val="none"/>
          <w:lang w:val="en-US" w:eastAsia="zh-CN"/>
        </w:rPr>
        <w:t>合同当事人对文明施工的要求：</w:t>
      </w:r>
      <w:r>
        <w:rPr>
          <w:rFonts w:hint="eastAsia" w:ascii="仿宋" w:hAnsi="仿宋" w:eastAsia="仿宋" w:cs="仿宋"/>
          <w:color w:val="000000"/>
          <w:sz w:val="24"/>
          <w:szCs w:val="24"/>
          <w:highlight w:val="none"/>
          <w:u w:val="single"/>
          <w:lang w:val="en-US" w:eastAsia="zh-CN"/>
        </w:rPr>
        <w:t>满足陕西省对文明工地的要求。</w:t>
      </w:r>
    </w:p>
    <w:p w14:paraId="3E2939A4">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b/>
          <w:bCs/>
          <w:color w:val="000000"/>
          <w:sz w:val="24"/>
          <w:szCs w:val="24"/>
          <w:highlight w:val="none"/>
          <w:u w:val="none"/>
          <w:lang w:val="en-US" w:eastAsia="zh-CN"/>
        </w:rPr>
        <w:t>十三、工程验收</w:t>
      </w:r>
    </w:p>
    <w:p w14:paraId="668062DF">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1.工程竣工验收。以国家颁发的《关于基本建设项目竣工验收暂行规定》、《工程施工及验收规范》等文件及施工技术文件为依据组织总体验收。</w:t>
      </w:r>
    </w:p>
    <w:p w14:paraId="091F1B84">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2.施工材料到达现场后由发包人、承包人、监理共同验收，验收合格后方能使用。</w:t>
      </w:r>
    </w:p>
    <w:p w14:paraId="3656393A">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3.项目验收：由甲方组织相关职能部门验收。</w:t>
      </w:r>
    </w:p>
    <w:p w14:paraId="49C77CF2">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b/>
          <w:bCs/>
          <w:color w:val="000000"/>
          <w:sz w:val="24"/>
          <w:szCs w:val="24"/>
          <w:highlight w:val="none"/>
          <w:u w:val="single"/>
          <w:lang w:val="en-US" w:eastAsia="zh-CN"/>
        </w:rPr>
      </w:pPr>
      <w:bookmarkStart w:id="14" w:name="_Toc351203647"/>
      <w:bookmarkStart w:id="15" w:name="_Toc267251483"/>
      <w:bookmarkStart w:id="16" w:name="_Toc267251484"/>
      <w:bookmarkStart w:id="17" w:name="_Toc267251482"/>
      <w:bookmarkStart w:id="18" w:name="_Toc267251485"/>
      <w:bookmarkStart w:id="19" w:name="_Toc267251488"/>
      <w:bookmarkStart w:id="20" w:name="_Toc267251490"/>
      <w:bookmarkStart w:id="21" w:name="_Toc267251486"/>
      <w:bookmarkStart w:id="22" w:name="_Toc267251489"/>
      <w:r>
        <w:rPr>
          <w:rFonts w:hint="eastAsia" w:ascii="仿宋" w:hAnsi="仿宋" w:eastAsia="仿宋" w:cs="仿宋"/>
          <w:b/>
          <w:bCs/>
          <w:color w:val="000000"/>
          <w:sz w:val="24"/>
          <w:szCs w:val="24"/>
          <w:highlight w:val="none"/>
          <w:u w:val="none"/>
          <w:lang w:val="en-US" w:eastAsia="zh-CN"/>
        </w:rPr>
        <w:t>十四、缺陷责任期与保修</w:t>
      </w:r>
      <w:bookmarkEnd w:id="14"/>
    </w:p>
    <w:p w14:paraId="147169EC">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1.缺陷责任期</w:t>
      </w:r>
      <w:bookmarkEnd w:id="15"/>
    </w:p>
    <w:p w14:paraId="1226CD28">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缺陷责任期的具体期限：本项目缺陷责任期为24个月；</w:t>
      </w:r>
    </w:p>
    <w:bookmarkEnd w:id="16"/>
    <w:bookmarkEnd w:id="17"/>
    <w:bookmarkEnd w:id="18"/>
    <w:p w14:paraId="273EF731">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2.质量保修金：/；</w:t>
      </w:r>
    </w:p>
    <w:p w14:paraId="2285C244">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3.保修责任</w:t>
      </w:r>
    </w:p>
    <w:p w14:paraId="03671AF3">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u w:val="single"/>
          <w:lang w:val="en-US" w:eastAsia="zh-CN"/>
        </w:rPr>
        <w:t>工程质量保修期为：自工程竣工验收合格之日进入工程质量保修期，质量保修期2年。</w:t>
      </w:r>
    </w:p>
    <w:p w14:paraId="387C3F86">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4.修复通知</w:t>
      </w:r>
    </w:p>
    <w:p w14:paraId="243B7131">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u w:val="none"/>
          <w:lang w:val="en-US" w:eastAsia="zh-CN"/>
        </w:rPr>
        <w:t>承包人收到保修通知并到达工程现场的合理时间：</w:t>
      </w:r>
      <w:bookmarkEnd w:id="19"/>
      <w:bookmarkEnd w:id="20"/>
      <w:bookmarkEnd w:id="21"/>
      <w:bookmarkEnd w:id="22"/>
      <w:r>
        <w:rPr>
          <w:rFonts w:hint="eastAsia" w:ascii="仿宋" w:hAnsi="仿宋" w:eastAsia="仿宋" w:cs="仿宋"/>
          <w:color w:val="000000"/>
          <w:sz w:val="24"/>
          <w:szCs w:val="24"/>
          <w:highlight w:val="none"/>
          <w:u w:val="single"/>
          <w:lang w:val="en-US" w:eastAsia="zh-CN"/>
        </w:rPr>
        <w:t>即时响应（包括电话响应）；电话响应无法解决1小时内到达现场。修复时间1小时内解决；如1小时内无法修复，应提供相应解决方案。</w:t>
      </w:r>
    </w:p>
    <w:p w14:paraId="46199114">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b/>
          <w:bCs/>
          <w:color w:val="000000"/>
          <w:sz w:val="24"/>
          <w:szCs w:val="24"/>
          <w:highlight w:val="none"/>
          <w:u w:val="none"/>
          <w:lang w:val="en-US" w:eastAsia="zh-CN"/>
        </w:rPr>
      </w:pPr>
      <w:r>
        <w:rPr>
          <w:rFonts w:hint="eastAsia" w:ascii="仿宋" w:hAnsi="仿宋" w:eastAsia="仿宋" w:cs="仿宋"/>
          <w:b/>
          <w:bCs/>
          <w:color w:val="000000"/>
          <w:sz w:val="24"/>
          <w:szCs w:val="24"/>
          <w:highlight w:val="none"/>
          <w:u w:val="none"/>
          <w:lang w:val="en-US" w:eastAsia="zh-CN"/>
        </w:rPr>
        <w:t>十五、其他约定</w:t>
      </w:r>
    </w:p>
    <w:p w14:paraId="73807E36">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1.试验设备</w:t>
      </w:r>
    </w:p>
    <w:p w14:paraId="60D36BE2">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u w:val="none"/>
          <w:lang w:val="en-US" w:eastAsia="zh-CN"/>
        </w:rPr>
        <w:t>施工现场需要配置的试验场所：</w:t>
      </w:r>
      <w:r>
        <w:rPr>
          <w:rFonts w:hint="eastAsia" w:ascii="仿宋" w:hAnsi="仿宋" w:eastAsia="仿宋" w:cs="仿宋"/>
          <w:color w:val="000000"/>
          <w:sz w:val="24"/>
          <w:szCs w:val="24"/>
          <w:highlight w:val="none"/>
          <w:u w:val="single"/>
          <w:lang w:val="en-US" w:eastAsia="zh-CN"/>
        </w:rPr>
        <w:t>符合施工和验收规范要求，原材料、试块、半成品及成品的各项检测已包括在合同价款中。</w:t>
      </w:r>
    </w:p>
    <w:p w14:paraId="1DE37BEB">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u w:val="none"/>
          <w:lang w:val="en-US" w:eastAsia="zh-CN"/>
        </w:rPr>
        <w:t>2.适用于合同的其他规范性文件：</w:t>
      </w:r>
      <w:r>
        <w:rPr>
          <w:rFonts w:hint="eastAsia" w:ascii="仿宋" w:hAnsi="仿宋" w:eastAsia="仿宋" w:cs="仿宋"/>
          <w:color w:val="000000"/>
          <w:sz w:val="24"/>
          <w:szCs w:val="24"/>
          <w:highlight w:val="none"/>
          <w:u w:val="single"/>
          <w:lang w:val="en-US" w:eastAsia="zh-CN"/>
        </w:rPr>
        <w:t>《中华人民共和国建筑法》《中华人民共和国民法典》《中华人民共和国安全生产法》《建筑工程质量管理条例》《建筑工程强制性标准条文》《建筑工程质量保修办法》，陕西省、西安市关于安全生产文明施工的法规、条例和规范性文件等。</w:t>
      </w:r>
    </w:p>
    <w:p w14:paraId="0F67B8FF">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3.标准和规范</w:t>
      </w:r>
    </w:p>
    <w:p w14:paraId="074B9F55">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u w:val="none"/>
          <w:lang w:val="en-US" w:eastAsia="zh-CN"/>
        </w:rPr>
        <w:t>适用于工程的标准规范包括：</w:t>
      </w:r>
      <w:r>
        <w:rPr>
          <w:rFonts w:hint="eastAsia" w:ascii="仿宋" w:hAnsi="仿宋" w:eastAsia="仿宋" w:cs="仿宋"/>
          <w:color w:val="000000"/>
          <w:sz w:val="24"/>
          <w:szCs w:val="24"/>
          <w:highlight w:val="none"/>
          <w:u w:val="single"/>
          <w:lang w:val="en-US" w:eastAsia="zh-CN"/>
        </w:rPr>
        <w:t xml:space="preserve"> 执行《中华人民共和国建筑法》、《建设工程质量管理条例》、《建筑地基基础工程施工质量验收标准》等有关法律法规及规范标准以及材料、设备所涉及的现行国家、省、市或行业的工程建设标准、规范的要求；以上技术规范由承包人自备，如有不足之处或未能达到国家最新标准时，承包人应使施工及选用的材料符合最新版本的国家标准、规范。</w:t>
      </w:r>
    </w:p>
    <w:p w14:paraId="0CC694EB">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4.图纸</w:t>
      </w:r>
    </w:p>
    <w:p w14:paraId="58E83665">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u w:val="single"/>
          <w:lang w:val="en-US" w:eastAsia="zh-CN"/>
        </w:rPr>
        <w:t>以发包人实际提供图纸的内容为准，如承包人再进行复制图纸应经过发包人同意并留存记录，妥善保管，按受控文件要求进行管理，不得外传、外借。涉及的费用由承包人自行承担。</w:t>
      </w:r>
    </w:p>
    <w:p w14:paraId="49BE24AA">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5.交通运输</w:t>
      </w:r>
    </w:p>
    <w:p w14:paraId="7B417D8D">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single"/>
          <w:lang w:val="en-US" w:eastAsia="zh-CN"/>
        </w:rPr>
      </w:pPr>
      <w:bookmarkStart w:id="23" w:name="_Toc318581155"/>
      <w:bookmarkStart w:id="24" w:name="_Toc312677986"/>
      <w:bookmarkStart w:id="25" w:name="_Toc304295521"/>
      <w:bookmarkStart w:id="26" w:name="_Toc300934943"/>
      <w:bookmarkStart w:id="27" w:name="_Toc303539100"/>
      <w:r>
        <w:rPr>
          <w:rFonts w:hint="eastAsia" w:ascii="仿宋" w:hAnsi="仿宋" w:eastAsia="仿宋" w:cs="仿宋"/>
          <w:color w:val="000000"/>
          <w:sz w:val="24"/>
          <w:szCs w:val="24"/>
          <w:highlight w:val="none"/>
          <w:u w:val="none"/>
          <w:lang w:val="en-US" w:eastAsia="zh-CN"/>
        </w:rPr>
        <w:t>关于出入现场的权利的约定</w:t>
      </w:r>
      <w:r>
        <w:rPr>
          <w:rFonts w:hint="eastAsia" w:ascii="仿宋" w:hAnsi="仿宋" w:eastAsia="仿宋" w:cs="仿宋"/>
          <w:color w:val="000000"/>
          <w:sz w:val="24"/>
          <w:szCs w:val="24"/>
          <w:highlight w:val="none"/>
          <w:u w:val="single"/>
          <w:lang w:val="en-US" w:eastAsia="zh-CN"/>
        </w:rPr>
        <w:t>：承包人负责现场管理，发包人遵守承包人现场管理的规定。</w:t>
      </w:r>
      <w:bookmarkEnd w:id="23"/>
      <w:bookmarkEnd w:id="24"/>
      <w:bookmarkEnd w:id="25"/>
      <w:bookmarkEnd w:id="26"/>
      <w:bookmarkEnd w:id="27"/>
      <w:bookmarkStart w:id="28" w:name="_Toc304295522"/>
      <w:bookmarkStart w:id="29" w:name="_Toc312677987"/>
      <w:bookmarkStart w:id="30" w:name="_Toc318581156"/>
      <w:bookmarkStart w:id="31" w:name="_Toc303539101"/>
      <w:bookmarkStart w:id="32" w:name="_Toc300934944"/>
    </w:p>
    <w:p w14:paraId="4EF3F68F">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u w:val="none"/>
          <w:lang w:val="en-US" w:eastAsia="zh-CN"/>
        </w:rPr>
        <w:t>关于场外交通和场内交通的边界的约定：</w:t>
      </w:r>
      <w:r>
        <w:rPr>
          <w:rFonts w:hint="eastAsia" w:ascii="仿宋" w:hAnsi="仿宋" w:eastAsia="仿宋" w:cs="仿宋"/>
          <w:color w:val="000000"/>
          <w:sz w:val="24"/>
          <w:szCs w:val="24"/>
          <w:highlight w:val="none"/>
          <w:u w:val="single"/>
          <w:lang w:val="en-US" w:eastAsia="zh-CN"/>
        </w:rPr>
        <w:t>根据现场情况，双方另行约定。</w:t>
      </w:r>
    </w:p>
    <w:p w14:paraId="2C73E388">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u w:val="single"/>
          <w:lang w:val="en-US" w:eastAsia="zh-CN"/>
        </w:rPr>
        <w:t>关于发包人向承包人免费提供满足工程施工需要的场内道路和交通设施的约定：以场地现状为准，发包人不提供除现状外的其他道路。</w:t>
      </w:r>
      <w:bookmarkEnd w:id="28"/>
      <w:bookmarkEnd w:id="29"/>
      <w:bookmarkEnd w:id="30"/>
      <w:bookmarkEnd w:id="31"/>
      <w:bookmarkEnd w:id="32"/>
      <w:r>
        <w:rPr>
          <w:rFonts w:hint="eastAsia" w:ascii="仿宋" w:hAnsi="仿宋" w:eastAsia="仿宋" w:cs="仿宋"/>
          <w:color w:val="000000"/>
          <w:sz w:val="24"/>
          <w:szCs w:val="24"/>
          <w:highlight w:val="none"/>
          <w:u w:val="single"/>
          <w:lang w:val="en-US" w:eastAsia="zh-CN"/>
        </w:rPr>
        <w:t xml:space="preserve">  </w:t>
      </w:r>
      <w:bookmarkStart w:id="33" w:name="_Toc318581157"/>
    </w:p>
    <w:p w14:paraId="7D40887A">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u w:val="none"/>
          <w:lang w:val="en-US" w:eastAsia="zh-CN"/>
        </w:rPr>
        <w:t>超大件和超重件的运输：</w:t>
      </w:r>
      <w:r>
        <w:rPr>
          <w:rFonts w:hint="eastAsia" w:ascii="仿宋" w:hAnsi="仿宋" w:eastAsia="仿宋" w:cs="仿宋"/>
          <w:color w:val="000000"/>
          <w:sz w:val="24"/>
          <w:szCs w:val="24"/>
          <w:highlight w:val="none"/>
          <w:u w:val="single"/>
          <w:lang w:val="en-US" w:eastAsia="zh-CN"/>
        </w:rPr>
        <w:t>运输超大件或超重件所需的道路和桥梁临时加固改造费用和其他有关费用由承包人承担。</w:t>
      </w:r>
    </w:p>
    <w:bookmarkEnd w:id="33"/>
    <w:p w14:paraId="5C6379F5">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6.知识产权</w:t>
      </w:r>
    </w:p>
    <w:p w14:paraId="30E0F260">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u w:val="none"/>
          <w:lang w:val="en-US" w:eastAsia="zh-CN"/>
        </w:rPr>
        <w:t>关于发包人提供给承包人的资料、发包人为实施工程自行编制或委托编制的技术规范以及反映发包人关于合同要求或其他类似性质的文件的著作权的归属：</w:t>
      </w:r>
      <w:r>
        <w:rPr>
          <w:rFonts w:hint="eastAsia" w:ascii="仿宋" w:hAnsi="仿宋" w:eastAsia="仿宋" w:cs="仿宋"/>
          <w:color w:val="000000"/>
          <w:sz w:val="24"/>
          <w:szCs w:val="24"/>
          <w:highlight w:val="none"/>
          <w:u w:val="single"/>
          <w:lang w:val="en-US" w:eastAsia="zh-CN"/>
        </w:rPr>
        <w:t>归属于发包人。</w:t>
      </w:r>
    </w:p>
    <w:p w14:paraId="344884C8">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u w:val="single"/>
          <w:lang w:val="en-US" w:eastAsia="zh-CN"/>
        </w:rPr>
        <w:t>关于发包人提供的上述文件的使用限制的要求： 承包人对上述文件复制应经发包人同意并记录，按受控文件要求进行管理，不得外传、外借。</w:t>
      </w:r>
    </w:p>
    <w:p w14:paraId="1DF58ED5">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u w:val="single"/>
          <w:lang w:val="en-US" w:eastAsia="zh-CN"/>
        </w:rPr>
        <w:t>关于承包人为实施工程所编制文件的著作权的归属：除署名权以外的著作权属于发包人。</w:t>
      </w:r>
    </w:p>
    <w:p w14:paraId="17989672">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u w:val="none"/>
          <w:lang w:val="en-US" w:eastAsia="zh-CN"/>
        </w:rPr>
        <w:t>关于承包人提供的上述文件的使用限制的要求：</w:t>
      </w:r>
      <w:r>
        <w:rPr>
          <w:rFonts w:hint="eastAsia" w:ascii="仿宋" w:hAnsi="仿宋" w:eastAsia="仿宋" w:cs="仿宋"/>
          <w:color w:val="000000"/>
          <w:sz w:val="24"/>
          <w:szCs w:val="24"/>
          <w:highlight w:val="none"/>
          <w:u w:val="single"/>
          <w:lang w:val="en-US" w:eastAsia="zh-CN"/>
        </w:rPr>
        <w:t>承包人对上述文件复制应经发包人同意并记录，按受控文件要求进行管理，不得外传、外借。</w:t>
      </w:r>
    </w:p>
    <w:p w14:paraId="2FCD6200">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u w:val="none"/>
          <w:lang w:val="en-US" w:eastAsia="zh-CN"/>
        </w:rPr>
        <w:t>承包人在施工过程中所采用的专利、专有技术、技术秘密的使用费的承担方式：</w:t>
      </w:r>
      <w:r>
        <w:rPr>
          <w:rFonts w:hint="eastAsia" w:ascii="仿宋" w:hAnsi="仿宋" w:eastAsia="仿宋" w:cs="仿宋"/>
          <w:color w:val="000000"/>
          <w:sz w:val="24"/>
          <w:szCs w:val="24"/>
          <w:highlight w:val="none"/>
          <w:u w:val="single"/>
          <w:lang w:val="en-US" w:eastAsia="zh-CN"/>
        </w:rPr>
        <w:t>已包含在磋商报价中，发包人不再另行支付费用。</w:t>
      </w:r>
    </w:p>
    <w:p w14:paraId="1707B46E">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u w:val="none"/>
          <w:lang w:val="en-US" w:eastAsia="zh-CN"/>
        </w:rPr>
        <w:t>7.分包：</w:t>
      </w:r>
      <w:r>
        <w:rPr>
          <w:rFonts w:hint="eastAsia" w:ascii="仿宋" w:hAnsi="仿宋" w:eastAsia="仿宋" w:cs="仿宋"/>
          <w:color w:val="000000"/>
          <w:sz w:val="24"/>
          <w:szCs w:val="24"/>
          <w:highlight w:val="none"/>
          <w:u w:val="single"/>
          <w:lang w:val="en-US" w:eastAsia="zh-CN"/>
        </w:rPr>
        <w:t>除发包人指定分包的内容外一律不允许分包。</w:t>
      </w:r>
    </w:p>
    <w:p w14:paraId="11095A48">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8.工程照管与成品、半成品保护均由承包人负责并不另外记取任何费用。</w:t>
      </w:r>
      <w:bookmarkEnd w:id="1"/>
      <w:bookmarkStart w:id="34" w:name="_Toc351203485"/>
    </w:p>
    <w:p w14:paraId="08C0F1D7">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b/>
          <w:bCs/>
          <w:color w:val="000000"/>
          <w:sz w:val="24"/>
          <w:szCs w:val="24"/>
          <w:highlight w:val="none"/>
          <w:u w:val="none"/>
          <w:lang w:val="en-US" w:eastAsia="zh-CN"/>
        </w:rPr>
      </w:pPr>
      <w:r>
        <w:rPr>
          <w:rFonts w:hint="eastAsia" w:ascii="仿宋" w:hAnsi="仿宋" w:eastAsia="仿宋" w:cs="仿宋"/>
          <w:b/>
          <w:bCs/>
          <w:color w:val="000000"/>
          <w:sz w:val="24"/>
          <w:szCs w:val="24"/>
          <w:highlight w:val="none"/>
          <w:u w:val="none"/>
          <w:lang w:val="en-US" w:eastAsia="zh-CN"/>
        </w:rPr>
        <w:t>十六、</w:t>
      </w:r>
      <w:bookmarkEnd w:id="34"/>
      <w:bookmarkStart w:id="35" w:name="_Toc351203486"/>
      <w:r>
        <w:rPr>
          <w:rFonts w:hint="eastAsia" w:ascii="仿宋" w:hAnsi="仿宋" w:eastAsia="仿宋" w:cs="仿宋"/>
          <w:b/>
          <w:bCs/>
          <w:color w:val="000000"/>
          <w:sz w:val="24"/>
          <w:szCs w:val="24"/>
          <w:highlight w:val="none"/>
          <w:u w:val="none"/>
          <w:lang w:val="en-US" w:eastAsia="zh-CN"/>
        </w:rPr>
        <w:t>违约责任</w:t>
      </w:r>
    </w:p>
    <w:p w14:paraId="5AB08DEE">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1.发包人违约</w:t>
      </w:r>
    </w:p>
    <w:p w14:paraId="136FC938">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（1）因发包人原因未能在计划开工日期前7天内下达开工通知的违约责任：工期顺延。</w:t>
      </w:r>
    </w:p>
    <w:p w14:paraId="71762759">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（2）因发包人原因未能按合同约定支付合同价款的违约责任双方另行协商。</w:t>
      </w:r>
    </w:p>
    <w:p w14:paraId="21E25BB7">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（3）因发包人违反合同约定造成暂停施工的违约责任：若影响工期的，工期予以顺延。</w:t>
      </w:r>
    </w:p>
    <w:p w14:paraId="6070EA44">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（4）发包人无正当理由没有在约定期限内发出复工指示，导致承包人无法复工的违约责任：若影响工期的，工期予以顺延。</w:t>
      </w:r>
    </w:p>
    <w:p w14:paraId="6763C408">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（5）其他：双方协商解决。</w:t>
      </w:r>
    </w:p>
    <w:p w14:paraId="5835F60E">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2.承包人违约</w:t>
      </w:r>
    </w:p>
    <w:p w14:paraId="3988981C">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1）承包人不得更换经发包人认定的项目经理。承包人擅自更换项目经理，应按1万元/人·次的标准向发包人支付违约金。如需要更换项目经理及其它专业工程师，应至少提前15天以书面形式通知发包人，并征得发包人同意；后任继续行使合同文件约定的前任的职权，履行前任的义务。</w:t>
      </w:r>
    </w:p>
    <w:p w14:paraId="5AC003CA">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2）承包人项目经理和经理无特殊情况每月坚守工地时间不得少于22天，项目经理在工程施工期间，要暂时离开工地现场2天以上，应事先征得工程师的同意。项目经理每次请假时间不超过7天，一年累计离场时间不得超过30天。随意离开工地，承包人向发包人支付2000元/天的违约金。项目经理和经理需要离开工地时必须提前一天书面向发包人请假，获批准后方可离开工地，否则按缺勤处理。</w:t>
      </w:r>
    </w:p>
    <w:p w14:paraId="05339A69">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3）项目经理不胜任本职工作，发包人和工程师可提前7天以书面形式通知承包人更换合格的项目经理，如更换后的项目经理仍旧不能胜任本职工作，发包人有解除合同的权利。项目经理及其他专业工程师不称职，发包人和工程师也可提前5天以书面形式通知承包人更换合格的人员。上述人员更换，承包人应在3日内更换完毕。</w:t>
      </w:r>
    </w:p>
    <w:p w14:paraId="38ABFE15">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4）承包人主要机械设备未能按工程计划（或监理工程师要求的设备）及时到场或到场设备不能正常运转以及擅自调走已进场的机械设备，应按200元/天·台（套）标准向发包人支付违约金；迟到或调离超过10天时，发包人可自行组织采购，费用直接在向承包人支付工程款时予以扣除，同时对到场时限的延迟仍旧计算违约金</w:t>
      </w:r>
    </w:p>
    <w:p w14:paraId="61606273">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（5）同时出现以下问题：</w:t>
      </w:r>
    </w:p>
    <w:p w14:paraId="248A6550">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a.出现重大质量问题，经发包人、监理单位提出，没有采取有效措施进行补救。</w:t>
      </w:r>
    </w:p>
    <w:p w14:paraId="6C5D8456">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b.被建设行政主管部门因为质量问题通报两次者。</w:t>
      </w:r>
    </w:p>
    <w:p w14:paraId="5D4779A2">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c.出现重大安全隐患，经监理提出，在限期内没有得到整改。</w:t>
      </w:r>
    </w:p>
    <w:p w14:paraId="09A68F24">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d.被建设行政主管部门因为安全问题通报两次者。</w:t>
      </w:r>
    </w:p>
    <w:p w14:paraId="710EE921">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e.或发生其它使合同无法履行的行为。发包人可单方解除合同。</w:t>
      </w:r>
    </w:p>
    <w:p w14:paraId="465589BC">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因以上原因终止施工合同，承包人应支付合同价款3%的违约金，另由于终止合同对发包人造成的损失由承包人承担。</w:t>
      </w:r>
    </w:p>
    <w:p w14:paraId="56986666">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b/>
          <w:bCs/>
          <w:color w:val="000000"/>
          <w:sz w:val="24"/>
          <w:szCs w:val="24"/>
          <w:highlight w:val="none"/>
          <w:u w:val="none"/>
          <w:lang w:val="en-US" w:eastAsia="zh-CN"/>
        </w:rPr>
      </w:pPr>
      <w:r>
        <w:rPr>
          <w:rFonts w:hint="eastAsia" w:ascii="仿宋" w:hAnsi="仿宋" w:eastAsia="仿宋" w:cs="仿宋"/>
          <w:b/>
          <w:bCs/>
          <w:color w:val="000000"/>
          <w:sz w:val="24"/>
          <w:szCs w:val="24"/>
          <w:highlight w:val="none"/>
          <w:u w:val="none"/>
          <w:lang w:val="en-US" w:eastAsia="zh-CN"/>
        </w:rPr>
        <w:t>十七、不可抗力</w:t>
      </w:r>
    </w:p>
    <w:p w14:paraId="1DE24814">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p>
    <w:p w14:paraId="6304BEEC">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b/>
          <w:bCs/>
          <w:color w:val="000000"/>
          <w:sz w:val="24"/>
          <w:szCs w:val="24"/>
          <w:highlight w:val="none"/>
          <w:u w:val="none"/>
          <w:lang w:val="en-US" w:eastAsia="zh-CN"/>
        </w:rPr>
      </w:pPr>
      <w:r>
        <w:rPr>
          <w:rFonts w:hint="eastAsia" w:ascii="仿宋" w:hAnsi="仿宋" w:eastAsia="仿宋" w:cs="仿宋"/>
          <w:b/>
          <w:bCs/>
          <w:color w:val="000000"/>
          <w:sz w:val="24"/>
          <w:szCs w:val="24"/>
          <w:highlight w:val="none"/>
          <w:u w:val="none"/>
          <w:lang w:val="en-US" w:eastAsia="zh-CN"/>
        </w:rPr>
        <w:t>十八、保险</w:t>
      </w:r>
    </w:p>
    <w:p w14:paraId="6E4A99E8">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关于工程保险、承包人员相关保险、设备设施保险等已包含在合同价款中，保险费用由承包人承担，未购买的承包人承担全部责任。</w:t>
      </w:r>
    </w:p>
    <w:p w14:paraId="6EC485DA">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b/>
          <w:bCs/>
          <w:color w:val="000000"/>
          <w:sz w:val="24"/>
          <w:szCs w:val="24"/>
          <w:highlight w:val="none"/>
          <w:u w:val="none"/>
          <w:lang w:val="en-US" w:eastAsia="zh-CN"/>
        </w:rPr>
      </w:pPr>
      <w:r>
        <w:rPr>
          <w:rFonts w:hint="eastAsia" w:ascii="仿宋" w:hAnsi="仿宋" w:eastAsia="仿宋" w:cs="仿宋"/>
          <w:b/>
          <w:bCs/>
          <w:color w:val="000000"/>
          <w:sz w:val="24"/>
          <w:szCs w:val="24"/>
          <w:highlight w:val="none"/>
          <w:u w:val="none"/>
          <w:lang w:val="en-US" w:eastAsia="zh-CN"/>
        </w:rPr>
        <w:t>十九、其他</w:t>
      </w:r>
    </w:p>
    <w:p w14:paraId="68A612E8">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1.在合同要求许可的范围内，在施工、完成工程及保修过程中，承包人所必需的一切操作均不应对公众的便利及公用道路，以及通往属于发包人和他人财产的人行道的进入、使用或占有，产生不必要及不适当的干扰；</w:t>
      </w:r>
    </w:p>
    <w:p w14:paraId="3650CF84">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2.承包人的施工管理区及施工现场应设有临时的污水处理设施和施工排水设施，生活、施工垃圾等处置应妥当；</w:t>
      </w:r>
    </w:p>
    <w:p w14:paraId="34F834F1">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3.竣工验收合格后，承包人应立即从签发了移交证书的那部分工地上将所有有关承包人的设备、多余材料、垃圾及各种临时工程清除、移走，恢复损坏的原有公共设施，并使这一部分工程及工地保持清洁，使发包人满意。在质量保修期结束之前，未完成质量保修期内的义务，将其需要的材料、承包人的和设备、临时设施保留在发包人指定的位置；</w:t>
      </w:r>
    </w:p>
    <w:p w14:paraId="56746857">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4.承包人应全权负责其劳务及资源的雇佣、工资的支付、房屋、膳食及运输的安排。承包人在任何时候应采取一切合理的预防措施，以防止其职员发生任何违法的、妨碍治安的行为，并维护治安和保护工程附近的个人或财产免遭上述行为的破坏；</w:t>
      </w:r>
    </w:p>
    <w:p w14:paraId="6139B619">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5.承包人应按安全施工管理有关规定，配备安全管理机构，配备合格的安全管理人员，负责处理全体工作人员和劳务人员的安全保护和防止事故等问题。在施工中发生的任何机械及人身伤害事故均由承包方承担赔偿责任；</w:t>
      </w:r>
    </w:p>
    <w:p w14:paraId="048A16E0">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6.承包人应以迅速而有序的方式将所采购的材料运至工地现场，并按工程规范要求做相应的试验、试样和检测工作，当这些工作不符合现行有关规定（包括不及时开展相关工作）时，发包人有权直接指定由相关资质的检测单位进行试验、试样、检测工作，由此发生的所有费用由承包人承担；</w:t>
      </w:r>
    </w:p>
    <w:p w14:paraId="2EB5091A">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7.承包人应负责各分包人在施工过程的之前、之中、之后协调工作，包括工序、场地、材料堆放、人员食宿、水、电供应等，所发生的费用由承包人自行解决；</w:t>
      </w:r>
    </w:p>
    <w:p w14:paraId="6CD0AA00">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8.承包人必须服从发包人对总平面管理和现场平面管理的要求，现场设施搭建必须按发包人批准的搭建方案实施，严禁擅自乱建或扩大面积；</w:t>
      </w:r>
    </w:p>
    <w:p w14:paraId="04C9B9EF">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9.承包人负责处理与主体施工单位的协调问题。</w:t>
      </w:r>
    </w:p>
    <w:p w14:paraId="7AD8B2CB">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10.承包人负责处理当地农民对施工的干扰（非采购人原因），自行处理与当地农民的关系。</w:t>
      </w:r>
    </w:p>
    <w:p w14:paraId="553720AB">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11.承包人自行解决临时用房。</w:t>
      </w:r>
    </w:p>
    <w:bookmarkEnd w:id="35"/>
    <w:p w14:paraId="457DFB7B">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b/>
          <w:bCs/>
          <w:color w:val="000000"/>
          <w:sz w:val="24"/>
          <w:szCs w:val="24"/>
          <w:highlight w:val="none"/>
          <w:u w:val="none"/>
          <w:lang w:val="en-US" w:eastAsia="zh-CN"/>
        </w:rPr>
      </w:pPr>
      <w:bookmarkStart w:id="36" w:name="_Toc351203487"/>
      <w:r>
        <w:rPr>
          <w:rFonts w:hint="eastAsia" w:ascii="仿宋" w:hAnsi="仿宋" w:eastAsia="仿宋" w:cs="仿宋"/>
          <w:b/>
          <w:bCs/>
          <w:color w:val="000000"/>
          <w:sz w:val="24"/>
          <w:szCs w:val="24"/>
          <w:highlight w:val="none"/>
          <w:u w:val="none"/>
          <w:lang w:val="en-US" w:eastAsia="zh-CN"/>
        </w:rPr>
        <w:t>二十、合同文件构成</w:t>
      </w:r>
    </w:p>
    <w:p w14:paraId="5898652A">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组成本合同的文件包括：</w:t>
      </w:r>
    </w:p>
    <w:p w14:paraId="2C231A37">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响应文件、工程报价单或预算书及其附件、磋商文件、答疑纪要及工程量清单、标准、规范及有关技术文件。</w:t>
      </w:r>
    </w:p>
    <w:p w14:paraId="595CFD9D">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双方为履行本合同的有关洽商、变更等书面协议、文件，视为本合同的组成部分。</w:t>
      </w:r>
    </w:p>
    <w:p w14:paraId="10575211">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上述各项合同文件包括合同当事人就该项合同文件所作出的补充和修改，属于同一类内容的文件，应以最新签署的为准。专用合同条款及其附件须经合同当事人签字或盖章。</w:t>
      </w:r>
    </w:p>
    <w:p w14:paraId="61D505EC">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b/>
          <w:bCs/>
          <w:color w:val="000000"/>
          <w:sz w:val="24"/>
          <w:szCs w:val="24"/>
          <w:highlight w:val="none"/>
          <w:u w:val="none"/>
          <w:lang w:val="en-US" w:eastAsia="zh-CN"/>
        </w:rPr>
      </w:pPr>
      <w:r>
        <w:rPr>
          <w:rFonts w:hint="eastAsia" w:ascii="仿宋" w:hAnsi="仿宋" w:eastAsia="仿宋" w:cs="仿宋"/>
          <w:b/>
          <w:bCs/>
          <w:color w:val="000000"/>
          <w:sz w:val="24"/>
          <w:szCs w:val="24"/>
          <w:highlight w:val="none"/>
          <w:u w:val="none"/>
          <w:lang w:val="en-US" w:eastAsia="zh-CN"/>
        </w:rPr>
        <w:t>二十一、承包人承诺</w:t>
      </w:r>
      <w:bookmarkEnd w:id="36"/>
    </w:p>
    <w:p w14:paraId="713F77F8">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 xml:space="preserve">承包人承诺按照法律规定及合同约定组织完成工程施工，确保工程质量和安全，不进行转包及违法分包，并在缺陷责任期及质量保修期内承担相应的工程维修责任。    </w:t>
      </w:r>
      <w:bookmarkStart w:id="37" w:name="_Toc351203489"/>
    </w:p>
    <w:p w14:paraId="3BDC022A">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b/>
          <w:bCs/>
          <w:color w:val="000000"/>
          <w:sz w:val="24"/>
          <w:szCs w:val="24"/>
          <w:highlight w:val="none"/>
          <w:u w:val="none"/>
          <w:lang w:val="en-US" w:eastAsia="zh-CN"/>
        </w:rPr>
      </w:pPr>
      <w:r>
        <w:rPr>
          <w:rFonts w:hint="eastAsia" w:ascii="仿宋" w:hAnsi="仿宋" w:eastAsia="仿宋" w:cs="仿宋"/>
          <w:b/>
          <w:bCs/>
          <w:color w:val="000000"/>
          <w:sz w:val="24"/>
          <w:szCs w:val="24"/>
          <w:highlight w:val="none"/>
          <w:u w:val="none"/>
          <w:lang w:val="en-US" w:eastAsia="zh-CN"/>
        </w:rPr>
        <w:t>二十二、签订时间</w:t>
      </w:r>
      <w:bookmarkEnd w:id="37"/>
      <w:r>
        <w:rPr>
          <w:rFonts w:hint="eastAsia" w:ascii="仿宋" w:hAnsi="仿宋" w:eastAsia="仿宋" w:cs="仿宋"/>
          <w:b/>
          <w:bCs/>
          <w:color w:val="000000"/>
          <w:sz w:val="24"/>
          <w:szCs w:val="24"/>
          <w:highlight w:val="none"/>
          <w:u w:val="none"/>
          <w:lang w:val="en-US" w:eastAsia="zh-CN"/>
        </w:rPr>
        <w:t>及地点</w:t>
      </w:r>
    </w:p>
    <w:p w14:paraId="496F035E">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本合同于2025年</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none"/>
          <w:lang w:val="en-US" w:eastAsia="zh-CN"/>
        </w:rPr>
        <w:t>月</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none"/>
          <w:lang w:val="en-US" w:eastAsia="zh-CN"/>
        </w:rPr>
        <w:t xml:space="preserve">日签订。  </w:t>
      </w:r>
      <w:bookmarkStart w:id="38" w:name="_Toc351203490"/>
    </w:p>
    <w:bookmarkEnd w:id="38"/>
    <w:p w14:paraId="62FCDBB0">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本合同签订地点：在</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none"/>
          <w:lang w:val="en-US" w:eastAsia="zh-CN"/>
        </w:rPr>
        <w:t xml:space="preserve">签订。  </w:t>
      </w:r>
      <w:bookmarkStart w:id="39" w:name="_Toc351203492"/>
    </w:p>
    <w:p w14:paraId="5F452F47">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b/>
          <w:bCs/>
          <w:color w:val="000000"/>
          <w:sz w:val="24"/>
          <w:szCs w:val="24"/>
          <w:highlight w:val="none"/>
          <w:u w:val="none"/>
          <w:lang w:val="en-US" w:eastAsia="zh-CN"/>
        </w:rPr>
      </w:pPr>
      <w:r>
        <w:rPr>
          <w:rFonts w:hint="eastAsia" w:ascii="仿宋" w:hAnsi="仿宋" w:eastAsia="仿宋" w:cs="仿宋"/>
          <w:b/>
          <w:bCs/>
          <w:color w:val="000000"/>
          <w:sz w:val="24"/>
          <w:szCs w:val="24"/>
          <w:highlight w:val="none"/>
          <w:u w:val="none"/>
          <w:lang w:val="en-US" w:eastAsia="zh-CN"/>
        </w:rPr>
        <w:t>二十三、</w:t>
      </w:r>
      <w:bookmarkEnd w:id="39"/>
      <w:r>
        <w:rPr>
          <w:rFonts w:hint="eastAsia" w:ascii="仿宋" w:hAnsi="仿宋" w:eastAsia="仿宋" w:cs="仿宋"/>
          <w:b/>
          <w:bCs/>
          <w:color w:val="000000"/>
          <w:sz w:val="24"/>
          <w:szCs w:val="24"/>
          <w:highlight w:val="none"/>
          <w:u w:val="none"/>
          <w:lang w:val="en-US" w:eastAsia="zh-CN"/>
        </w:rPr>
        <w:t>附则</w:t>
      </w:r>
    </w:p>
    <w:p w14:paraId="7A270F18">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本合同一式捌份，甲乙双方各执肆份，本合同双方签字盖章后生效。</w:t>
      </w:r>
    </w:p>
    <w:p w14:paraId="22482594">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 xml:space="preserve">发包人：  (公章)                     承包人：  (公章)                            </w:t>
      </w:r>
    </w:p>
    <w:p w14:paraId="41263263">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法定代表人或                         法定代表人或</w:t>
      </w:r>
    </w:p>
    <w:p w14:paraId="75E254E8">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 xml:space="preserve">其委托代理人：（签字）               其委托代理人：（签字） </w:t>
      </w:r>
    </w:p>
    <w:p w14:paraId="0C3156CB">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组织机构代码：</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none"/>
          <w:lang w:val="en-US" w:eastAsia="zh-CN"/>
        </w:rPr>
        <w:t xml:space="preserve">      组织机构代码：</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none"/>
          <w:lang w:val="en-US" w:eastAsia="zh-CN"/>
        </w:rPr>
        <w:t xml:space="preserve">          </w:t>
      </w:r>
    </w:p>
    <w:p w14:paraId="5B815E41">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地址：</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none"/>
          <w:lang w:val="en-US" w:eastAsia="zh-CN"/>
        </w:rPr>
        <w:t xml:space="preserve">      地址：</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none"/>
          <w:lang w:val="en-US" w:eastAsia="zh-CN"/>
        </w:rPr>
        <w:t xml:space="preserve">                            </w:t>
      </w:r>
    </w:p>
    <w:p w14:paraId="55B002D7">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法定代表人：</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none"/>
          <w:lang w:val="en-US" w:eastAsia="zh-CN"/>
        </w:rPr>
        <w:t xml:space="preserve">      法定代表人：</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none"/>
          <w:lang w:val="en-US" w:eastAsia="zh-CN"/>
        </w:rPr>
        <w:t xml:space="preserve">     </w:t>
      </w:r>
    </w:p>
    <w:p w14:paraId="771C72BF">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委托代理人：</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none"/>
          <w:lang w:val="en-US" w:eastAsia="zh-CN"/>
        </w:rPr>
        <w:t xml:space="preserve">      委托代理人：</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none"/>
          <w:lang w:val="en-US" w:eastAsia="zh-CN"/>
        </w:rPr>
        <w:t xml:space="preserve">     </w:t>
      </w:r>
    </w:p>
    <w:p w14:paraId="0E15652B">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电话</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none"/>
          <w:lang w:val="en-US" w:eastAsia="zh-CN"/>
        </w:rPr>
        <w:t xml:space="preserve">      电话：</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none"/>
          <w:lang w:val="en-US" w:eastAsia="zh-CN"/>
        </w:rPr>
        <w:t xml:space="preserve">   </w:t>
      </w:r>
    </w:p>
    <w:p w14:paraId="7658C96C">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开户银行：</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none"/>
          <w:lang w:val="en-US" w:eastAsia="zh-CN"/>
        </w:rPr>
        <w:t xml:space="preserve">      开户银行：</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none"/>
          <w:lang w:val="en-US" w:eastAsia="zh-CN"/>
        </w:rPr>
        <w:t xml:space="preserve">    </w:t>
      </w:r>
    </w:p>
    <w:p w14:paraId="573A388F">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帐号：</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none"/>
          <w:lang w:val="en-US" w:eastAsia="zh-CN"/>
        </w:rPr>
        <w:t xml:space="preserve">       帐号：</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none"/>
          <w:lang w:val="en-US" w:eastAsia="zh-CN"/>
        </w:rPr>
        <w:t xml:space="preserve"> </w:t>
      </w:r>
    </w:p>
    <w:p w14:paraId="5844DCAA">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p>
    <w:p w14:paraId="6DAA7A7F">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附件1：承包人承揽工程项目一览表</w:t>
      </w:r>
    </w:p>
    <w:p w14:paraId="5E8B5885">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附件2：工程质量保修书</w:t>
      </w:r>
    </w:p>
    <w:p w14:paraId="52410285">
      <w:pPr>
        <w:pageBreakBefore/>
        <w:adjustRightInd w:val="0"/>
        <w:snapToGrid w:val="0"/>
        <w:spacing w:line="360" w:lineRule="auto"/>
        <w:jc w:val="left"/>
        <w:rPr>
          <w:rFonts w:hint="eastAsia" w:ascii="仿宋" w:hAnsi="仿宋" w:eastAsia="仿宋" w:cs="仿宋"/>
          <w:b/>
          <w:color w:val="000000"/>
          <w:sz w:val="24"/>
          <w:szCs w:val="24"/>
        </w:rPr>
      </w:pPr>
      <w:r>
        <w:rPr>
          <w:rFonts w:hint="eastAsia" w:ascii="仿宋" w:hAnsi="仿宋" w:eastAsia="仿宋" w:cs="仿宋"/>
          <w:b/>
          <w:color w:val="000000"/>
          <w:sz w:val="24"/>
          <w:szCs w:val="24"/>
        </w:rPr>
        <w:t>附件1：</w:t>
      </w:r>
    </w:p>
    <w:p w14:paraId="5E5EEAC7">
      <w:pPr>
        <w:adjustRightInd w:val="0"/>
        <w:snapToGrid w:val="0"/>
        <w:spacing w:line="360" w:lineRule="auto"/>
        <w:ind w:firstLine="482" w:firstLineChars="200"/>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承包人承揽工程项目一览表</w:t>
      </w:r>
    </w:p>
    <w:tbl>
      <w:tblPr>
        <w:tblStyle w:val="4"/>
        <w:tblW w:w="86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4"/>
        <w:gridCol w:w="1020"/>
        <w:gridCol w:w="814"/>
        <w:gridCol w:w="761"/>
        <w:gridCol w:w="717"/>
        <w:gridCol w:w="793"/>
        <w:gridCol w:w="986"/>
        <w:gridCol w:w="825"/>
        <w:gridCol w:w="782"/>
        <w:gridCol w:w="906"/>
      </w:tblGrid>
      <w:tr w14:paraId="2302C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014" w:type="dxa"/>
            <w:vAlign w:val="center"/>
          </w:tcPr>
          <w:p w14:paraId="53174070">
            <w:pPr>
              <w:adjustRightInd w:val="0"/>
              <w:snapToGrid w:val="0"/>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单位工程名称</w:t>
            </w:r>
          </w:p>
        </w:tc>
        <w:tc>
          <w:tcPr>
            <w:tcW w:w="1020" w:type="dxa"/>
            <w:vAlign w:val="center"/>
          </w:tcPr>
          <w:p w14:paraId="0A14D524">
            <w:pPr>
              <w:adjustRightInd w:val="0"/>
              <w:snapToGrid w:val="0"/>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建设</w:t>
            </w:r>
          </w:p>
          <w:p w14:paraId="146ED6A7">
            <w:pPr>
              <w:adjustRightInd w:val="0"/>
              <w:snapToGrid w:val="0"/>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规模</w:t>
            </w:r>
          </w:p>
        </w:tc>
        <w:tc>
          <w:tcPr>
            <w:tcW w:w="814" w:type="dxa"/>
            <w:vAlign w:val="center"/>
          </w:tcPr>
          <w:p w14:paraId="7D1E1AF6">
            <w:pPr>
              <w:adjustRightInd w:val="0"/>
              <w:snapToGrid w:val="0"/>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建筑</w:t>
            </w:r>
          </w:p>
          <w:p w14:paraId="63430D9C">
            <w:pPr>
              <w:adjustRightInd w:val="0"/>
              <w:snapToGrid w:val="0"/>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面积</w:t>
            </w:r>
          </w:p>
        </w:tc>
        <w:tc>
          <w:tcPr>
            <w:tcW w:w="761" w:type="dxa"/>
            <w:vAlign w:val="center"/>
          </w:tcPr>
          <w:p w14:paraId="6A26A7DC">
            <w:pPr>
              <w:adjustRightInd w:val="0"/>
              <w:snapToGrid w:val="0"/>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结构</w:t>
            </w:r>
          </w:p>
        </w:tc>
        <w:tc>
          <w:tcPr>
            <w:tcW w:w="717" w:type="dxa"/>
            <w:vAlign w:val="center"/>
          </w:tcPr>
          <w:p w14:paraId="4590EE75">
            <w:pPr>
              <w:adjustRightInd w:val="0"/>
              <w:snapToGrid w:val="0"/>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层数</w:t>
            </w:r>
          </w:p>
        </w:tc>
        <w:tc>
          <w:tcPr>
            <w:tcW w:w="793" w:type="dxa"/>
            <w:vAlign w:val="center"/>
          </w:tcPr>
          <w:p w14:paraId="22181A80">
            <w:pPr>
              <w:adjustRightInd w:val="0"/>
              <w:snapToGrid w:val="0"/>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跨度</w:t>
            </w:r>
          </w:p>
          <w:p w14:paraId="129C2F22">
            <w:pPr>
              <w:adjustRightInd w:val="0"/>
              <w:snapToGrid w:val="0"/>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(米)</w:t>
            </w:r>
          </w:p>
        </w:tc>
        <w:tc>
          <w:tcPr>
            <w:tcW w:w="986" w:type="dxa"/>
            <w:vAlign w:val="center"/>
          </w:tcPr>
          <w:p w14:paraId="1E530E4F">
            <w:pPr>
              <w:adjustRightInd w:val="0"/>
              <w:snapToGrid w:val="0"/>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设备安装内容</w:t>
            </w:r>
          </w:p>
        </w:tc>
        <w:tc>
          <w:tcPr>
            <w:tcW w:w="825" w:type="dxa"/>
            <w:vAlign w:val="center"/>
          </w:tcPr>
          <w:p w14:paraId="67C8DC07">
            <w:pPr>
              <w:adjustRightInd w:val="0"/>
              <w:snapToGrid w:val="0"/>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工程造价</w:t>
            </w:r>
          </w:p>
          <w:p w14:paraId="4095C6EC">
            <w:pPr>
              <w:adjustRightInd w:val="0"/>
              <w:snapToGrid w:val="0"/>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(元)</w:t>
            </w:r>
          </w:p>
        </w:tc>
        <w:tc>
          <w:tcPr>
            <w:tcW w:w="782" w:type="dxa"/>
            <w:vAlign w:val="center"/>
          </w:tcPr>
          <w:p w14:paraId="32BAC663">
            <w:pPr>
              <w:adjustRightInd w:val="0"/>
              <w:snapToGrid w:val="0"/>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开工</w:t>
            </w:r>
          </w:p>
          <w:p w14:paraId="601957B8">
            <w:pPr>
              <w:adjustRightInd w:val="0"/>
              <w:snapToGrid w:val="0"/>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日期</w:t>
            </w:r>
          </w:p>
        </w:tc>
        <w:tc>
          <w:tcPr>
            <w:tcW w:w="906" w:type="dxa"/>
            <w:vAlign w:val="center"/>
          </w:tcPr>
          <w:p w14:paraId="18B77518">
            <w:pPr>
              <w:adjustRightInd w:val="0"/>
              <w:snapToGrid w:val="0"/>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竣工</w:t>
            </w:r>
          </w:p>
          <w:p w14:paraId="0AFC96EA">
            <w:pPr>
              <w:adjustRightInd w:val="0"/>
              <w:snapToGrid w:val="0"/>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日期</w:t>
            </w:r>
          </w:p>
        </w:tc>
      </w:tr>
      <w:tr w14:paraId="306F8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0D4E934D">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1020" w:type="dxa"/>
            <w:vAlign w:val="center"/>
          </w:tcPr>
          <w:p w14:paraId="23AC61D0">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14" w:type="dxa"/>
            <w:vAlign w:val="center"/>
          </w:tcPr>
          <w:p w14:paraId="51304D3B">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61" w:type="dxa"/>
            <w:vAlign w:val="center"/>
          </w:tcPr>
          <w:p w14:paraId="622BFA23">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17" w:type="dxa"/>
            <w:vAlign w:val="center"/>
          </w:tcPr>
          <w:p w14:paraId="7671166A">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93" w:type="dxa"/>
            <w:vAlign w:val="center"/>
          </w:tcPr>
          <w:p w14:paraId="66BB9A0E">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86" w:type="dxa"/>
            <w:vAlign w:val="center"/>
          </w:tcPr>
          <w:p w14:paraId="54019888">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25" w:type="dxa"/>
            <w:vAlign w:val="center"/>
          </w:tcPr>
          <w:p w14:paraId="638BF770">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82" w:type="dxa"/>
            <w:vAlign w:val="center"/>
          </w:tcPr>
          <w:p w14:paraId="3F45F285">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06" w:type="dxa"/>
            <w:vAlign w:val="center"/>
          </w:tcPr>
          <w:p w14:paraId="2080C21F">
            <w:pPr>
              <w:adjustRightInd w:val="0"/>
              <w:snapToGrid w:val="0"/>
              <w:spacing w:line="360" w:lineRule="auto"/>
              <w:ind w:firstLine="480" w:firstLineChars="200"/>
              <w:jc w:val="center"/>
              <w:rPr>
                <w:rFonts w:hint="eastAsia" w:ascii="仿宋" w:hAnsi="仿宋" w:eastAsia="仿宋" w:cs="仿宋"/>
                <w:color w:val="000000"/>
                <w:sz w:val="24"/>
                <w:szCs w:val="24"/>
              </w:rPr>
            </w:pPr>
          </w:p>
        </w:tc>
      </w:tr>
      <w:tr w14:paraId="1AB6F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2E48F661">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1020" w:type="dxa"/>
            <w:vAlign w:val="center"/>
          </w:tcPr>
          <w:p w14:paraId="6FEB3E00">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14" w:type="dxa"/>
            <w:vAlign w:val="center"/>
          </w:tcPr>
          <w:p w14:paraId="24E783A3">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61" w:type="dxa"/>
            <w:vAlign w:val="center"/>
          </w:tcPr>
          <w:p w14:paraId="2BE45260">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17" w:type="dxa"/>
            <w:vAlign w:val="center"/>
          </w:tcPr>
          <w:p w14:paraId="2D72C9DC">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93" w:type="dxa"/>
            <w:vAlign w:val="center"/>
          </w:tcPr>
          <w:p w14:paraId="08B89FEE">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86" w:type="dxa"/>
            <w:vAlign w:val="center"/>
          </w:tcPr>
          <w:p w14:paraId="3889920E">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25" w:type="dxa"/>
            <w:vAlign w:val="center"/>
          </w:tcPr>
          <w:p w14:paraId="5A59DCAB">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82" w:type="dxa"/>
            <w:vAlign w:val="center"/>
          </w:tcPr>
          <w:p w14:paraId="07F11E1B">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06" w:type="dxa"/>
            <w:vAlign w:val="center"/>
          </w:tcPr>
          <w:p w14:paraId="02187E3A">
            <w:pPr>
              <w:adjustRightInd w:val="0"/>
              <w:snapToGrid w:val="0"/>
              <w:spacing w:line="360" w:lineRule="auto"/>
              <w:ind w:firstLine="480" w:firstLineChars="200"/>
              <w:jc w:val="center"/>
              <w:rPr>
                <w:rFonts w:hint="eastAsia" w:ascii="仿宋" w:hAnsi="仿宋" w:eastAsia="仿宋" w:cs="仿宋"/>
                <w:color w:val="000000"/>
                <w:sz w:val="24"/>
                <w:szCs w:val="24"/>
              </w:rPr>
            </w:pPr>
          </w:p>
        </w:tc>
      </w:tr>
      <w:tr w14:paraId="6CDDB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09107113">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1020" w:type="dxa"/>
            <w:vAlign w:val="center"/>
          </w:tcPr>
          <w:p w14:paraId="0A45BD67">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14" w:type="dxa"/>
            <w:vAlign w:val="center"/>
          </w:tcPr>
          <w:p w14:paraId="6F378EB8">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61" w:type="dxa"/>
            <w:vAlign w:val="center"/>
          </w:tcPr>
          <w:p w14:paraId="09F5DAA5">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17" w:type="dxa"/>
            <w:vAlign w:val="center"/>
          </w:tcPr>
          <w:p w14:paraId="46BF9060">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93" w:type="dxa"/>
            <w:vAlign w:val="center"/>
          </w:tcPr>
          <w:p w14:paraId="5D21404A">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86" w:type="dxa"/>
            <w:vAlign w:val="center"/>
          </w:tcPr>
          <w:p w14:paraId="143B9709">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25" w:type="dxa"/>
            <w:vAlign w:val="center"/>
          </w:tcPr>
          <w:p w14:paraId="086BF2DF">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82" w:type="dxa"/>
            <w:vAlign w:val="center"/>
          </w:tcPr>
          <w:p w14:paraId="36068879">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06" w:type="dxa"/>
            <w:vAlign w:val="center"/>
          </w:tcPr>
          <w:p w14:paraId="4B966447">
            <w:pPr>
              <w:adjustRightInd w:val="0"/>
              <w:snapToGrid w:val="0"/>
              <w:spacing w:line="360" w:lineRule="auto"/>
              <w:ind w:firstLine="480" w:firstLineChars="200"/>
              <w:jc w:val="center"/>
              <w:rPr>
                <w:rFonts w:hint="eastAsia" w:ascii="仿宋" w:hAnsi="仿宋" w:eastAsia="仿宋" w:cs="仿宋"/>
                <w:color w:val="000000"/>
                <w:sz w:val="24"/>
                <w:szCs w:val="24"/>
              </w:rPr>
            </w:pPr>
          </w:p>
        </w:tc>
      </w:tr>
      <w:tr w14:paraId="2C252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4552E56E">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1020" w:type="dxa"/>
            <w:vAlign w:val="center"/>
          </w:tcPr>
          <w:p w14:paraId="138A11F0">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14" w:type="dxa"/>
            <w:vAlign w:val="center"/>
          </w:tcPr>
          <w:p w14:paraId="1D3D4495">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61" w:type="dxa"/>
            <w:vAlign w:val="center"/>
          </w:tcPr>
          <w:p w14:paraId="568CF638">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17" w:type="dxa"/>
            <w:vAlign w:val="center"/>
          </w:tcPr>
          <w:p w14:paraId="33D6DFC4">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93" w:type="dxa"/>
            <w:vAlign w:val="center"/>
          </w:tcPr>
          <w:p w14:paraId="0E44B52A">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86" w:type="dxa"/>
            <w:vAlign w:val="center"/>
          </w:tcPr>
          <w:p w14:paraId="183E3965">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25" w:type="dxa"/>
            <w:vAlign w:val="center"/>
          </w:tcPr>
          <w:p w14:paraId="141840C4">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82" w:type="dxa"/>
            <w:vAlign w:val="center"/>
          </w:tcPr>
          <w:p w14:paraId="63DBAF2B">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06" w:type="dxa"/>
            <w:vAlign w:val="center"/>
          </w:tcPr>
          <w:p w14:paraId="118AE78C">
            <w:pPr>
              <w:adjustRightInd w:val="0"/>
              <w:snapToGrid w:val="0"/>
              <w:spacing w:line="360" w:lineRule="auto"/>
              <w:ind w:firstLine="480" w:firstLineChars="200"/>
              <w:jc w:val="center"/>
              <w:rPr>
                <w:rFonts w:hint="eastAsia" w:ascii="仿宋" w:hAnsi="仿宋" w:eastAsia="仿宋" w:cs="仿宋"/>
                <w:color w:val="000000"/>
                <w:sz w:val="24"/>
                <w:szCs w:val="24"/>
              </w:rPr>
            </w:pPr>
          </w:p>
        </w:tc>
      </w:tr>
      <w:tr w14:paraId="544BA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1B4235BD">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1020" w:type="dxa"/>
            <w:vAlign w:val="center"/>
          </w:tcPr>
          <w:p w14:paraId="338BA543">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14" w:type="dxa"/>
            <w:vAlign w:val="center"/>
          </w:tcPr>
          <w:p w14:paraId="6B22D17B">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61" w:type="dxa"/>
            <w:vAlign w:val="center"/>
          </w:tcPr>
          <w:p w14:paraId="7DFDC94D">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17" w:type="dxa"/>
            <w:vAlign w:val="center"/>
          </w:tcPr>
          <w:p w14:paraId="03CF5989">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93" w:type="dxa"/>
            <w:vAlign w:val="center"/>
          </w:tcPr>
          <w:p w14:paraId="7BEE6C1B">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86" w:type="dxa"/>
            <w:vAlign w:val="center"/>
          </w:tcPr>
          <w:p w14:paraId="3B3185DC">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25" w:type="dxa"/>
            <w:vAlign w:val="center"/>
          </w:tcPr>
          <w:p w14:paraId="70404AF4">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82" w:type="dxa"/>
            <w:vAlign w:val="center"/>
          </w:tcPr>
          <w:p w14:paraId="6C1B6899">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06" w:type="dxa"/>
            <w:vAlign w:val="center"/>
          </w:tcPr>
          <w:p w14:paraId="4838239F">
            <w:pPr>
              <w:adjustRightInd w:val="0"/>
              <w:snapToGrid w:val="0"/>
              <w:spacing w:line="360" w:lineRule="auto"/>
              <w:ind w:firstLine="480" w:firstLineChars="200"/>
              <w:jc w:val="center"/>
              <w:rPr>
                <w:rFonts w:hint="eastAsia" w:ascii="仿宋" w:hAnsi="仿宋" w:eastAsia="仿宋" w:cs="仿宋"/>
                <w:color w:val="000000"/>
                <w:sz w:val="24"/>
                <w:szCs w:val="24"/>
              </w:rPr>
            </w:pPr>
          </w:p>
        </w:tc>
      </w:tr>
      <w:tr w14:paraId="592E3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109DC20E">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1020" w:type="dxa"/>
            <w:vAlign w:val="center"/>
          </w:tcPr>
          <w:p w14:paraId="16586D3E">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14" w:type="dxa"/>
            <w:vAlign w:val="center"/>
          </w:tcPr>
          <w:p w14:paraId="676AE1AD">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61" w:type="dxa"/>
            <w:vAlign w:val="center"/>
          </w:tcPr>
          <w:p w14:paraId="3547E68D">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17" w:type="dxa"/>
            <w:vAlign w:val="center"/>
          </w:tcPr>
          <w:p w14:paraId="0F2FAD14">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93" w:type="dxa"/>
            <w:vAlign w:val="center"/>
          </w:tcPr>
          <w:p w14:paraId="59210E4E">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86" w:type="dxa"/>
            <w:vAlign w:val="center"/>
          </w:tcPr>
          <w:p w14:paraId="4F6C4A76">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25" w:type="dxa"/>
            <w:vAlign w:val="center"/>
          </w:tcPr>
          <w:p w14:paraId="0DADF6F6">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82" w:type="dxa"/>
            <w:vAlign w:val="center"/>
          </w:tcPr>
          <w:p w14:paraId="16CA8313">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06" w:type="dxa"/>
            <w:vAlign w:val="center"/>
          </w:tcPr>
          <w:p w14:paraId="2D83B04B">
            <w:pPr>
              <w:adjustRightInd w:val="0"/>
              <w:snapToGrid w:val="0"/>
              <w:spacing w:line="360" w:lineRule="auto"/>
              <w:ind w:firstLine="480" w:firstLineChars="200"/>
              <w:jc w:val="center"/>
              <w:rPr>
                <w:rFonts w:hint="eastAsia" w:ascii="仿宋" w:hAnsi="仿宋" w:eastAsia="仿宋" w:cs="仿宋"/>
                <w:color w:val="000000"/>
                <w:sz w:val="24"/>
                <w:szCs w:val="24"/>
              </w:rPr>
            </w:pPr>
          </w:p>
        </w:tc>
      </w:tr>
      <w:tr w14:paraId="5BD99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67479435">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1020" w:type="dxa"/>
            <w:vAlign w:val="center"/>
          </w:tcPr>
          <w:p w14:paraId="067E3FD2">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14" w:type="dxa"/>
            <w:vAlign w:val="center"/>
          </w:tcPr>
          <w:p w14:paraId="2A28845C">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61" w:type="dxa"/>
            <w:vAlign w:val="center"/>
          </w:tcPr>
          <w:p w14:paraId="2CD6AF7C">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17" w:type="dxa"/>
            <w:vAlign w:val="center"/>
          </w:tcPr>
          <w:p w14:paraId="77441C76">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93" w:type="dxa"/>
            <w:vAlign w:val="center"/>
          </w:tcPr>
          <w:p w14:paraId="05096096">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86" w:type="dxa"/>
            <w:vAlign w:val="center"/>
          </w:tcPr>
          <w:p w14:paraId="1CF3B95B">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25" w:type="dxa"/>
            <w:vAlign w:val="center"/>
          </w:tcPr>
          <w:p w14:paraId="19B75B64">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82" w:type="dxa"/>
            <w:vAlign w:val="center"/>
          </w:tcPr>
          <w:p w14:paraId="2BBFBDF1">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06" w:type="dxa"/>
            <w:vAlign w:val="center"/>
          </w:tcPr>
          <w:p w14:paraId="0D7DCBEB">
            <w:pPr>
              <w:adjustRightInd w:val="0"/>
              <w:snapToGrid w:val="0"/>
              <w:spacing w:line="360" w:lineRule="auto"/>
              <w:ind w:firstLine="480" w:firstLineChars="200"/>
              <w:jc w:val="center"/>
              <w:rPr>
                <w:rFonts w:hint="eastAsia" w:ascii="仿宋" w:hAnsi="仿宋" w:eastAsia="仿宋" w:cs="仿宋"/>
                <w:color w:val="000000"/>
                <w:sz w:val="24"/>
                <w:szCs w:val="24"/>
              </w:rPr>
            </w:pPr>
          </w:p>
        </w:tc>
      </w:tr>
      <w:tr w14:paraId="547E5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424764D4">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1020" w:type="dxa"/>
            <w:vAlign w:val="center"/>
          </w:tcPr>
          <w:p w14:paraId="0405DA25">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14" w:type="dxa"/>
            <w:vAlign w:val="center"/>
          </w:tcPr>
          <w:p w14:paraId="20F721E3">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61" w:type="dxa"/>
            <w:vAlign w:val="center"/>
          </w:tcPr>
          <w:p w14:paraId="6E1A5081">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17" w:type="dxa"/>
            <w:vAlign w:val="center"/>
          </w:tcPr>
          <w:p w14:paraId="4F6CE221">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93" w:type="dxa"/>
            <w:vAlign w:val="center"/>
          </w:tcPr>
          <w:p w14:paraId="361E3838">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86" w:type="dxa"/>
            <w:vAlign w:val="center"/>
          </w:tcPr>
          <w:p w14:paraId="098C55F8">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25" w:type="dxa"/>
            <w:vAlign w:val="center"/>
          </w:tcPr>
          <w:p w14:paraId="4D782993">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82" w:type="dxa"/>
            <w:vAlign w:val="center"/>
          </w:tcPr>
          <w:p w14:paraId="02883E5B">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06" w:type="dxa"/>
            <w:vAlign w:val="center"/>
          </w:tcPr>
          <w:p w14:paraId="10F664B0">
            <w:pPr>
              <w:adjustRightInd w:val="0"/>
              <w:snapToGrid w:val="0"/>
              <w:spacing w:line="360" w:lineRule="auto"/>
              <w:ind w:firstLine="480" w:firstLineChars="200"/>
              <w:jc w:val="center"/>
              <w:rPr>
                <w:rFonts w:hint="eastAsia" w:ascii="仿宋" w:hAnsi="仿宋" w:eastAsia="仿宋" w:cs="仿宋"/>
                <w:color w:val="000000"/>
                <w:sz w:val="24"/>
                <w:szCs w:val="24"/>
              </w:rPr>
            </w:pPr>
          </w:p>
        </w:tc>
      </w:tr>
      <w:tr w14:paraId="344D4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64ED86C5">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1020" w:type="dxa"/>
            <w:vAlign w:val="center"/>
          </w:tcPr>
          <w:p w14:paraId="3A222F57">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14" w:type="dxa"/>
            <w:vAlign w:val="center"/>
          </w:tcPr>
          <w:p w14:paraId="5060C433">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61" w:type="dxa"/>
            <w:vAlign w:val="center"/>
          </w:tcPr>
          <w:p w14:paraId="7BA38585">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17" w:type="dxa"/>
            <w:vAlign w:val="center"/>
          </w:tcPr>
          <w:p w14:paraId="5E296E58">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93" w:type="dxa"/>
            <w:vAlign w:val="center"/>
          </w:tcPr>
          <w:p w14:paraId="7D1DFDE2">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86" w:type="dxa"/>
            <w:vAlign w:val="center"/>
          </w:tcPr>
          <w:p w14:paraId="0381923F">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25" w:type="dxa"/>
            <w:vAlign w:val="center"/>
          </w:tcPr>
          <w:p w14:paraId="0E8AA0A3">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82" w:type="dxa"/>
            <w:vAlign w:val="center"/>
          </w:tcPr>
          <w:p w14:paraId="120E51BF">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06" w:type="dxa"/>
            <w:vAlign w:val="center"/>
          </w:tcPr>
          <w:p w14:paraId="5CE44B16">
            <w:pPr>
              <w:adjustRightInd w:val="0"/>
              <w:snapToGrid w:val="0"/>
              <w:spacing w:line="360" w:lineRule="auto"/>
              <w:ind w:firstLine="480" w:firstLineChars="200"/>
              <w:jc w:val="center"/>
              <w:rPr>
                <w:rFonts w:hint="eastAsia" w:ascii="仿宋" w:hAnsi="仿宋" w:eastAsia="仿宋" w:cs="仿宋"/>
                <w:color w:val="000000"/>
                <w:sz w:val="24"/>
                <w:szCs w:val="24"/>
              </w:rPr>
            </w:pPr>
          </w:p>
        </w:tc>
      </w:tr>
      <w:tr w14:paraId="56ED4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4B652F76">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1020" w:type="dxa"/>
            <w:vAlign w:val="center"/>
          </w:tcPr>
          <w:p w14:paraId="3EF2204E">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14" w:type="dxa"/>
            <w:vAlign w:val="center"/>
          </w:tcPr>
          <w:p w14:paraId="58CCF9DB">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61" w:type="dxa"/>
            <w:vAlign w:val="center"/>
          </w:tcPr>
          <w:p w14:paraId="61579152">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17" w:type="dxa"/>
            <w:vAlign w:val="center"/>
          </w:tcPr>
          <w:p w14:paraId="0F259FC2">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93" w:type="dxa"/>
            <w:vAlign w:val="center"/>
          </w:tcPr>
          <w:p w14:paraId="2691CDC8">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86" w:type="dxa"/>
            <w:vAlign w:val="center"/>
          </w:tcPr>
          <w:p w14:paraId="58523179">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25" w:type="dxa"/>
            <w:vAlign w:val="center"/>
          </w:tcPr>
          <w:p w14:paraId="4E99C678">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82" w:type="dxa"/>
            <w:vAlign w:val="center"/>
          </w:tcPr>
          <w:p w14:paraId="62C6339A">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06" w:type="dxa"/>
            <w:vAlign w:val="center"/>
          </w:tcPr>
          <w:p w14:paraId="5D19772B">
            <w:pPr>
              <w:adjustRightInd w:val="0"/>
              <w:snapToGrid w:val="0"/>
              <w:spacing w:line="360" w:lineRule="auto"/>
              <w:ind w:firstLine="480" w:firstLineChars="200"/>
              <w:jc w:val="center"/>
              <w:rPr>
                <w:rFonts w:hint="eastAsia" w:ascii="仿宋" w:hAnsi="仿宋" w:eastAsia="仿宋" w:cs="仿宋"/>
                <w:color w:val="000000"/>
                <w:sz w:val="24"/>
                <w:szCs w:val="24"/>
              </w:rPr>
            </w:pPr>
          </w:p>
        </w:tc>
      </w:tr>
      <w:tr w14:paraId="16FCE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7A7BA5AA">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1020" w:type="dxa"/>
            <w:vAlign w:val="center"/>
          </w:tcPr>
          <w:p w14:paraId="4CFEF816">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14" w:type="dxa"/>
            <w:vAlign w:val="center"/>
          </w:tcPr>
          <w:p w14:paraId="220CC9EF">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61" w:type="dxa"/>
            <w:vAlign w:val="center"/>
          </w:tcPr>
          <w:p w14:paraId="237385E0">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17" w:type="dxa"/>
            <w:vAlign w:val="center"/>
          </w:tcPr>
          <w:p w14:paraId="004AF529">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93" w:type="dxa"/>
            <w:vAlign w:val="center"/>
          </w:tcPr>
          <w:p w14:paraId="13CD54B9">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86" w:type="dxa"/>
            <w:vAlign w:val="center"/>
          </w:tcPr>
          <w:p w14:paraId="1AE896D9">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25" w:type="dxa"/>
            <w:vAlign w:val="center"/>
          </w:tcPr>
          <w:p w14:paraId="73E87B70">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82" w:type="dxa"/>
            <w:vAlign w:val="center"/>
          </w:tcPr>
          <w:p w14:paraId="23C100BD">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06" w:type="dxa"/>
            <w:vAlign w:val="center"/>
          </w:tcPr>
          <w:p w14:paraId="44DB66BD">
            <w:pPr>
              <w:adjustRightInd w:val="0"/>
              <w:snapToGrid w:val="0"/>
              <w:spacing w:line="360" w:lineRule="auto"/>
              <w:ind w:firstLine="480" w:firstLineChars="200"/>
              <w:jc w:val="center"/>
              <w:rPr>
                <w:rFonts w:hint="eastAsia" w:ascii="仿宋" w:hAnsi="仿宋" w:eastAsia="仿宋" w:cs="仿宋"/>
                <w:color w:val="000000"/>
                <w:sz w:val="24"/>
                <w:szCs w:val="24"/>
              </w:rPr>
            </w:pPr>
          </w:p>
        </w:tc>
      </w:tr>
      <w:tr w14:paraId="30EAA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5A3047CD">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1020" w:type="dxa"/>
            <w:vAlign w:val="center"/>
          </w:tcPr>
          <w:p w14:paraId="195034B5">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14" w:type="dxa"/>
            <w:vAlign w:val="center"/>
          </w:tcPr>
          <w:p w14:paraId="0408D47E">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61" w:type="dxa"/>
            <w:vAlign w:val="center"/>
          </w:tcPr>
          <w:p w14:paraId="00E1DD83">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17" w:type="dxa"/>
            <w:vAlign w:val="center"/>
          </w:tcPr>
          <w:p w14:paraId="461922EC">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93" w:type="dxa"/>
            <w:vAlign w:val="center"/>
          </w:tcPr>
          <w:p w14:paraId="6A13BC78">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86" w:type="dxa"/>
            <w:vAlign w:val="center"/>
          </w:tcPr>
          <w:p w14:paraId="389E46B0">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25" w:type="dxa"/>
            <w:vAlign w:val="center"/>
          </w:tcPr>
          <w:p w14:paraId="1E340368">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82" w:type="dxa"/>
            <w:vAlign w:val="center"/>
          </w:tcPr>
          <w:p w14:paraId="6BA1B65E">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06" w:type="dxa"/>
            <w:vAlign w:val="center"/>
          </w:tcPr>
          <w:p w14:paraId="73DFAFAF">
            <w:pPr>
              <w:adjustRightInd w:val="0"/>
              <w:snapToGrid w:val="0"/>
              <w:spacing w:line="360" w:lineRule="auto"/>
              <w:ind w:firstLine="480" w:firstLineChars="200"/>
              <w:jc w:val="center"/>
              <w:rPr>
                <w:rFonts w:hint="eastAsia" w:ascii="仿宋" w:hAnsi="仿宋" w:eastAsia="仿宋" w:cs="仿宋"/>
                <w:color w:val="000000"/>
                <w:sz w:val="24"/>
                <w:szCs w:val="24"/>
              </w:rPr>
            </w:pPr>
          </w:p>
        </w:tc>
      </w:tr>
      <w:tr w14:paraId="4AC39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50065B34">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1020" w:type="dxa"/>
            <w:vAlign w:val="center"/>
          </w:tcPr>
          <w:p w14:paraId="11CF17C8">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14" w:type="dxa"/>
            <w:vAlign w:val="center"/>
          </w:tcPr>
          <w:p w14:paraId="7DC95CE6">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61" w:type="dxa"/>
            <w:vAlign w:val="center"/>
          </w:tcPr>
          <w:p w14:paraId="485855AF">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17" w:type="dxa"/>
            <w:vAlign w:val="center"/>
          </w:tcPr>
          <w:p w14:paraId="17766B84">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93" w:type="dxa"/>
            <w:vAlign w:val="center"/>
          </w:tcPr>
          <w:p w14:paraId="3A42A7C1">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86" w:type="dxa"/>
            <w:vAlign w:val="center"/>
          </w:tcPr>
          <w:p w14:paraId="5917F39F">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25" w:type="dxa"/>
            <w:vAlign w:val="center"/>
          </w:tcPr>
          <w:p w14:paraId="3AE69D16">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82" w:type="dxa"/>
            <w:vAlign w:val="center"/>
          </w:tcPr>
          <w:p w14:paraId="3FA6B676">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06" w:type="dxa"/>
            <w:vAlign w:val="center"/>
          </w:tcPr>
          <w:p w14:paraId="1A26D8DC">
            <w:pPr>
              <w:adjustRightInd w:val="0"/>
              <w:snapToGrid w:val="0"/>
              <w:spacing w:line="360" w:lineRule="auto"/>
              <w:ind w:firstLine="480" w:firstLineChars="200"/>
              <w:jc w:val="center"/>
              <w:rPr>
                <w:rFonts w:hint="eastAsia" w:ascii="仿宋" w:hAnsi="仿宋" w:eastAsia="仿宋" w:cs="仿宋"/>
                <w:color w:val="000000"/>
                <w:sz w:val="24"/>
                <w:szCs w:val="24"/>
              </w:rPr>
            </w:pPr>
          </w:p>
        </w:tc>
      </w:tr>
      <w:tr w14:paraId="3EDB6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21A6AD6C">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1020" w:type="dxa"/>
            <w:vAlign w:val="center"/>
          </w:tcPr>
          <w:p w14:paraId="4EC2CB48">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14" w:type="dxa"/>
            <w:vAlign w:val="center"/>
          </w:tcPr>
          <w:p w14:paraId="74F429EB">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61" w:type="dxa"/>
            <w:vAlign w:val="center"/>
          </w:tcPr>
          <w:p w14:paraId="019FFCFF">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17" w:type="dxa"/>
            <w:vAlign w:val="center"/>
          </w:tcPr>
          <w:p w14:paraId="05454325">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93" w:type="dxa"/>
            <w:vAlign w:val="center"/>
          </w:tcPr>
          <w:p w14:paraId="76BF6DAC">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86" w:type="dxa"/>
            <w:vAlign w:val="center"/>
          </w:tcPr>
          <w:p w14:paraId="3922B283">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25" w:type="dxa"/>
            <w:vAlign w:val="center"/>
          </w:tcPr>
          <w:p w14:paraId="2A2C24B5">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82" w:type="dxa"/>
            <w:vAlign w:val="center"/>
          </w:tcPr>
          <w:p w14:paraId="6CB17483">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06" w:type="dxa"/>
            <w:vAlign w:val="center"/>
          </w:tcPr>
          <w:p w14:paraId="2AA463C4">
            <w:pPr>
              <w:adjustRightInd w:val="0"/>
              <w:snapToGrid w:val="0"/>
              <w:spacing w:line="360" w:lineRule="auto"/>
              <w:ind w:firstLine="480" w:firstLineChars="200"/>
              <w:jc w:val="center"/>
              <w:rPr>
                <w:rFonts w:hint="eastAsia" w:ascii="仿宋" w:hAnsi="仿宋" w:eastAsia="仿宋" w:cs="仿宋"/>
                <w:color w:val="000000"/>
                <w:sz w:val="24"/>
                <w:szCs w:val="24"/>
              </w:rPr>
            </w:pPr>
          </w:p>
        </w:tc>
      </w:tr>
      <w:tr w14:paraId="3C0C9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55FB9D04">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1020" w:type="dxa"/>
            <w:vAlign w:val="center"/>
          </w:tcPr>
          <w:p w14:paraId="29312CBE">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14" w:type="dxa"/>
            <w:vAlign w:val="center"/>
          </w:tcPr>
          <w:p w14:paraId="44A52924">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61" w:type="dxa"/>
            <w:vAlign w:val="center"/>
          </w:tcPr>
          <w:p w14:paraId="49A799AB">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17" w:type="dxa"/>
            <w:vAlign w:val="center"/>
          </w:tcPr>
          <w:p w14:paraId="39F4AD96">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93" w:type="dxa"/>
            <w:vAlign w:val="center"/>
          </w:tcPr>
          <w:p w14:paraId="0D8B7AAA">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86" w:type="dxa"/>
            <w:vAlign w:val="center"/>
          </w:tcPr>
          <w:p w14:paraId="67896888">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25" w:type="dxa"/>
            <w:vAlign w:val="center"/>
          </w:tcPr>
          <w:p w14:paraId="7F2E708B">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82" w:type="dxa"/>
            <w:vAlign w:val="center"/>
          </w:tcPr>
          <w:p w14:paraId="32A8005D">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06" w:type="dxa"/>
            <w:vAlign w:val="center"/>
          </w:tcPr>
          <w:p w14:paraId="67D5EA0A">
            <w:pPr>
              <w:adjustRightInd w:val="0"/>
              <w:snapToGrid w:val="0"/>
              <w:spacing w:line="360" w:lineRule="auto"/>
              <w:ind w:firstLine="480" w:firstLineChars="200"/>
              <w:jc w:val="center"/>
              <w:rPr>
                <w:rFonts w:hint="eastAsia" w:ascii="仿宋" w:hAnsi="仿宋" w:eastAsia="仿宋" w:cs="仿宋"/>
                <w:color w:val="000000"/>
                <w:sz w:val="24"/>
                <w:szCs w:val="24"/>
              </w:rPr>
            </w:pPr>
          </w:p>
        </w:tc>
      </w:tr>
      <w:tr w14:paraId="58707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4080132E">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1020" w:type="dxa"/>
            <w:vAlign w:val="center"/>
          </w:tcPr>
          <w:p w14:paraId="298AD78C">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14" w:type="dxa"/>
            <w:vAlign w:val="center"/>
          </w:tcPr>
          <w:p w14:paraId="73685EFF">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61" w:type="dxa"/>
            <w:vAlign w:val="center"/>
          </w:tcPr>
          <w:p w14:paraId="015C9F23">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17" w:type="dxa"/>
            <w:vAlign w:val="center"/>
          </w:tcPr>
          <w:p w14:paraId="2DD29748">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93" w:type="dxa"/>
            <w:vAlign w:val="center"/>
          </w:tcPr>
          <w:p w14:paraId="7D90DC08">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86" w:type="dxa"/>
            <w:vAlign w:val="center"/>
          </w:tcPr>
          <w:p w14:paraId="41B7E4B4">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25" w:type="dxa"/>
            <w:vAlign w:val="center"/>
          </w:tcPr>
          <w:p w14:paraId="76700E3E">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82" w:type="dxa"/>
            <w:vAlign w:val="center"/>
          </w:tcPr>
          <w:p w14:paraId="0970F467">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06" w:type="dxa"/>
            <w:vAlign w:val="center"/>
          </w:tcPr>
          <w:p w14:paraId="2052D6F0">
            <w:pPr>
              <w:adjustRightInd w:val="0"/>
              <w:snapToGrid w:val="0"/>
              <w:spacing w:line="360" w:lineRule="auto"/>
              <w:ind w:firstLine="480" w:firstLineChars="200"/>
              <w:jc w:val="center"/>
              <w:rPr>
                <w:rFonts w:hint="eastAsia" w:ascii="仿宋" w:hAnsi="仿宋" w:eastAsia="仿宋" w:cs="仿宋"/>
                <w:color w:val="000000"/>
                <w:sz w:val="24"/>
                <w:szCs w:val="24"/>
              </w:rPr>
            </w:pPr>
          </w:p>
        </w:tc>
      </w:tr>
      <w:tr w14:paraId="3EBE4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23E40CE3">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1020" w:type="dxa"/>
            <w:vAlign w:val="center"/>
          </w:tcPr>
          <w:p w14:paraId="497EA184">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14" w:type="dxa"/>
            <w:vAlign w:val="center"/>
          </w:tcPr>
          <w:p w14:paraId="0CF2AB7D">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61" w:type="dxa"/>
            <w:vAlign w:val="center"/>
          </w:tcPr>
          <w:p w14:paraId="1BB75AB0">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17" w:type="dxa"/>
            <w:vAlign w:val="center"/>
          </w:tcPr>
          <w:p w14:paraId="45D4E3D3">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93" w:type="dxa"/>
            <w:vAlign w:val="center"/>
          </w:tcPr>
          <w:p w14:paraId="60B95F22">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86" w:type="dxa"/>
            <w:vAlign w:val="center"/>
          </w:tcPr>
          <w:p w14:paraId="0610BD56">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825" w:type="dxa"/>
            <w:vAlign w:val="center"/>
          </w:tcPr>
          <w:p w14:paraId="62FA89A5">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782" w:type="dxa"/>
            <w:vAlign w:val="center"/>
          </w:tcPr>
          <w:p w14:paraId="0B016A49">
            <w:pPr>
              <w:adjustRightInd w:val="0"/>
              <w:snapToGrid w:val="0"/>
              <w:spacing w:line="360" w:lineRule="auto"/>
              <w:ind w:firstLine="480" w:firstLineChars="200"/>
              <w:jc w:val="center"/>
              <w:rPr>
                <w:rFonts w:hint="eastAsia" w:ascii="仿宋" w:hAnsi="仿宋" w:eastAsia="仿宋" w:cs="仿宋"/>
                <w:color w:val="000000"/>
                <w:sz w:val="24"/>
                <w:szCs w:val="24"/>
              </w:rPr>
            </w:pPr>
          </w:p>
        </w:tc>
        <w:tc>
          <w:tcPr>
            <w:tcW w:w="906" w:type="dxa"/>
            <w:vAlign w:val="center"/>
          </w:tcPr>
          <w:p w14:paraId="04557AEB">
            <w:pPr>
              <w:adjustRightInd w:val="0"/>
              <w:snapToGrid w:val="0"/>
              <w:spacing w:line="360" w:lineRule="auto"/>
              <w:ind w:firstLine="480" w:firstLineChars="200"/>
              <w:jc w:val="center"/>
              <w:rPr>
                <w:rFonts w:hint="eastAsia" w:ascii="仿宋" w:hAnsi="仿宋" w:eastAsia="仿宋" w:cs="仿宋"/>
                <w:color w:val="000000"/>
                <w:sz w:val="24"/>
                <w:szCs w:val="24"/>
              </w:rPr>
            </w:pPr>
          </w:p>
        </w:tc>
      </w:tr>
    </w:tbl>
    <w:p w14:paraId="09D3C7A3">
      <w:pPr>
        <w:adjustRightInd w:val="0"/>
        <w:snapToGrid w:val="0"/>
        <w:spacing w:line="360" w:lineRule="auto"/>
        <w:jc w:val="left"/>
        <w:rPr>
          <w:rFonts w:hint="eastAsia" w:ascii="仿宋" w:hAnsi="仿宋" w:eastAsia="仿宋" w:cs="仿宋"/>
          <w:b/>
          <w:color w:val="000000"/>
          <w:sz w:val="24"/>
          <w:szCs w:val="24"/>
        </w:rPr>
      </w:pPr>
    </w:p>
    <w:p w14:paraId="1140A4E1">
      <w:pPr>
        <w:adjustRightInd w:val="0"/>
        <w:snapToGrid w:val="0"/>
        <w:spacing w:line="360" w:lineRule="auto"/>
        <w:jc w:val="left"/>
        <w:rPr>
          <w:rFonts w:hint="eastAsia" w:ascii="仿宋" w:hAnsi="仿宋" w:eastAsia="仿宋" w:cs="仿宋"/>
          <w:b/>
          <w:color w:val="000000"/>
          <w:sz w:val="24"/>
          <w:szCs w:val="24"/>
        </w:rPr>
      </w:pPr>
    </w:p>
    <w:p w14:paraId="3A7022A2">
      <w:pPr>
        <w:pageBreakBefore/>
        <w:adjustRightInd w:val="0"/>
        <w:snapToGrid w:val="0"/>
        <w:spacing w:line="360" w:lineRule="auto"/>
        <w:jc w:val="left"/>
        <w:rPr>
          <w:rFonts w:hint="eastAsia" w:ascii="仿宋" w:hAnsi="仿宋" w:eastAsia="仿宋" w:cs="仿宋"/>
          <w:b/>
          <w:bCs/>
          <w:color w:val="000000"/>
          <w:sz w:val="24"/>
          <w:szCs w:val="24"/>
        </w:rPr>
      </w:pPr>
      <w:r>
        <w:rPr>
          <w:rFonts w:hint="eastAsia" w:ascii="仿宋" w:hAnsi="仿宋" w:eastAsia="仿宋" w:cs="仿宋"/>
          <w:b/>
          <w:color w:val="000000"/>
          <w:sz w:val="24"/>
          <w:szCs w:val="24"/>
        </w:rPr>
        <w:t>附件2：</w:t>
      </w:r>
    </w:p>
    <w:p w14:paraId="1E30CE94">
      <w:pPr>
        <w:adjustRightInd w:val="0"/>
        <w:snapToGrid w:val="0"/>
        <w:spacing w:line="360" w:lineRule="auto"/>
        <w:ind w:firstLine="562" w:firstLineChars="200"/>
        <w:jc w:val="center"/>
        <w:rPr>
          <w:rFonts w:hint="eastAsia" w:ascii="仿宋" w:hAnsi="仿宋" w:eastAsia="仿宋" w:cs="仿宋"/>
          <w:color w:val="000000"/>
          <w:sz w:val="24"/>
          <w:szCs w:val="24"/>
        </w:rPr>
      </w:pPr>
      <w:r>
        <w:rPr>
          <w:rFonts w:hint="eastAsia" w:ascii="仿宋" w:hAnsi="仿宋" w:eastAsia="仿宋" w:cs="仿宋"/>
          <w:b/>
          <w:bCs/>
          <w:color w:val="000000"/>
          <w:sz w:val="28"/>
          <w:szCs w:val="28"/>
        </w:rPr>
        <w:t>工程质量保修书</w:t>
      </w:r>
    </w:p>
    <w:p w14:paraId="77AEFD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u w:val="single"/>
          <w:lang w:val="en-US" w:eastAsia="zh-CN"/>
        </w:rPr>
      </w:pPr>
      <w:r>
        <w:rPr>
          <w:rFonts w:hint="eastAsia" w:ascii="仿宋" w:hAnsi="仿宋" w:eastAsia="仿宋" w:cs="仿宋"/>
          <w:sz w:val="24"/>
          <w:szCs w:val="22"/>
        </w:rPr>
        <w:t xml:space="preserve">发包人(全称): </w:t>
      </w:r>
      <w:r>
        <w:rPr>
          <w:rFonts w:hint="eastAsia" w:ascii="仿宋" w:hAnsi="仿宋" w:eastAsia="仿宋" w:cs="仿宋"/>
          <w:sz w:val="24"/>
          <w:szCs w:val="22"/>
          <w:u w:val="single"/>
          <w:lang w:eastAsia="zh-CN"/>
        </w:rPr>
        <w:t>陕西理工大学</w:t>
      </w:r>
      <w:r>
        <w:rPr>
          <w:rFonts w:hint="eastAsia" w:ascii="仿宋" w:hAnsi="仿宋" w:eastAsia="仿宋" w:cs="仿宋"/>
          <w:sz w:val="24"/>
          <w:szCs w:val="22"/>
          <w:u w:val="single"/>
          <w:lang w:val="en-US" w:eastAsia="zh-CN"/>
        </w:rPr>
        <w:t xml:space="preserve"> </w:t>
      </w:r>
    </w:p>
    <w:p w14:paraId="4CEFED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承包人(全称)：</w:t>
      </w:r>
      <w:r>
        <w:rPr>
          <w:rFonts w:hint="eastAsia" w:ascii="仿宋" w:hAnsi="仿宋" w:eastAsia="仿宋" w:cs="仿宋"/>
          <w:sz w:val="24"/>
          <w:szCs w:val="22"/>
          <w:u w:val="single"/>
        </w:rPr>
        <w:t xml:space="preserve"> </w:t>
      </w:r>
      <w:r>
        <w:rPr>
          <w:rFonts w:hint="eastAsia" w:ascii="仿宋" w:hAnsi="仿宋" w:eastAsia="仿宋" w:cs="仿宋"/>
          <w:sz w:val="24"/>
          <w:szCs w:val="22"/>
          <w:u w:val="single"/>
          <w:lang w:val="en-US" w:eastAsia="zh-CN"/>
        </w:rPr>
        <w:t xml:space="preserve">           </w:t>
      </w:r>
      <w:r>
        <w:rPr>
          <w:rFonts w:hint="eastAsia" w:ascii="仿宋" w:hAnsi="仿宋" w:eastAsia="仿宋" w:cs="仿宋"/>
          <w:sz w:val="24"/>
          <w:szCs w:val="22"/>
          <w:lang w:val="en-US" w:eastAsia="zh-CN"/>
        </w:rPr>
        <w:t xml:space="preserve"> </w:t>
      </w:r>
      <w:r>
        <w:rPr>
          <w:rFonts w:hint="eastAsia" w:ascii="仿宋" w:hAnsi="仿宋" w:eastAsia="仿宋" w:cs="仿宋"/>
          <w:sz w:val="24"/>
          <w:szCs w:val="22"/>
        </w:rPr>
        <w:t xml:space="preserve">             </w:t>
      </w:r>
    </w:p>
    <w:p w14:paraId="393BA6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为保证(工程名称)在合理使用期限内正常使用，发包人、承包人协商一致签订工程质量保修书。承包人在质量保修期内按照有关管理规定及双方约定承担工程质量保修责任。</w:t>
      </w:r>
    </w:p>
    <w:p w14:paraId="608B998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2"/>
        </w:rPr>
      </w:pPr>
      <w:r>
        <w:rPr>
          <w:rFonts w:hint="eastAsia" w:ascii="仿宋" w:hAnsi="仿宋" w:eastAsia="仿宋" w:cs="仿宋"/>
          <w:b/>
          <w:bCs/>
          <w:sz w:val="24"/>
          <w:szCs w:val="22"/>
        </w:rPr>
        <w:t>一、工程质量保修范围和内容</w:t>
      </w:r>
    </w:p>
    <w:p w14:paraId="0467AB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质量保修范围包括</w:t>
      </w:r>
      <w:r>
        <w:rPr>
          <w:rFonts w:hint="eastAsia" w:ascii="仿宋" w:hAnsi="仿宋" w:eastAsia="仿宋" w:cs="仿宋"/>
          <w:sz w:val="24"/>
          <w:szCs w:val="22"/>
          <w:lang w:eastAsia="zh-CN"/>
        </w:rPr>
        <w:t>磋商文件</w:t>
      </w:r>
      <w:r>
        <w:rPr>
          <w:rFonts w:hint="eastAsia" w:ascii="仿宋" w:hAnsi="仿宋" w:eastAsia="仿宋" w:cs="仿宋"/>
          <w:sz w:val="24"/>
          <w:szCs w:val="22"/>
        </w:rPr>
        <w:t>、工程量清单、答疑文件（如有）、图纸（无）等文件所包含的全部内容，具体质量保修内容双方约定如下：</w:t>
      </w:r>
    </w:p>
    <w:p w14:paraId="1CF423C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2"/>
        </w:rPr>
      </w:pPr>
      <w:r>
        <w:rPr>
          <w:rFonts w:hint="eastAsia" w:ascii="仿宋" w:hAnsi="仿宋" w:eastAsia="仿宋" w:cs="仿宋"/>
          <w:b/>
          <w:bCs/>
          <w:sz w:val="24"/>
          <w:szCs w:val="22"/>
        </w:rPr>
        <w:t>二、质量保修期</w:t>
      </w:r>
    </w:p>
    <w:p w14:paraId="700A4B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质量保修期自工程实际竣工之日算起。分单项竣工验收的工程，按单项工程分别计算质量保修期。</w:t>
      </w:r>
    </w:p>
    <w:p w14:paraId="78E8E1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双方根据《建设工程质量管理条例》及国家有关规定，结合具体工程约定质量保修期如下：</w:t>
      </w:r>
    </w:p>
    <w:p w14:paraId="625414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1.基础、主体、结构部分：</w:t>
      </w:r>
      <w:r>
        <w:rPr>
          <w:rFonts w:hint="eastAsia" w:ascii="仿宋" w:hAnsi="仿宋" w:eastAsia="仿宋" w:cs="仿宋"/>
          <w:sz w:val="24"/>
          <w:szCs w:val="22"/>
          <w:u w:val="single"/>
        </w:rPr>
        <w:t>为设计合理使用年限</w:t>
      </w:r>
      <w:r>
        <w:rPr>
          <w:rFonts w:hint="eastAsia" w:ascii="仿宋" w:hAnsi="仿宋" w:eastAsia="仿宋" w:cs="仿宋"/>
          <w:sz w:val="24"/>
          <w:szCs w:val="22"/>
        </w:rPr>
        <w:t>。</w:t>
      </w:r>
    </w:p>
    <w:p w14:paraId="4B7806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2.屋面防水工程、防水要求的卫生间、房间和外墙面防渗漏</w:t>
      </w:r>
      <w:r>
        <w:rPr>
          <w:rFonts w:hint="eastAsia" w:ascii="仿宋" w:hAnsi="仿宋" w:eastAsia="仿宋" w:cs="仿宋"/>
          <w:sz w:val="24"/>
          <w:szCs w:val="22"/>
          <w:u w:val="single"/>
        </w:rPr>
        <w:t xml:space="preserve"> 5 </w:t>
      </w:r>
      <w:r>
        <w:rPr>
          <w:rFonts w:hint="eastAsia" w:ascii="仿宋" w:hAnsi="仿宋" w:eastAsia="仿宋" w:cs="仿宋"/>
          <w:sz w:val="24"/>
          <w:szCs w:val="22"/>
        </w:rPr>
        <w:t>年；</w:t>
      </w:r>
    </w:p>
    <w:p w14:paraId="3F60EF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3.电气管线、上下水管线安装工程为</w:t>
      </w:r>
      <w:r>
        <w:rPr>
          <w:rFonts w:hint="eastAsia" w:ascii="仿宋" w:hAnsi="仿宋" w:eastAsia="仿宋" w:cs="仿宋"/>
          <w:sz w:val="24"/>
          <w:szCs w:val="22"/>
          <w:u w:val="single"/>
        </w:rPr>
        <w:t xml:space="preserve"> 2 </w:t>
      </w:r>
      <w:r>
        <w:rPr>
          <w:rFonts w:hint="eastAsia" w:ascii="仿宋" w:hAnsi="仿宋" w:eastAsia="仿宋" w:cs="仿宋"/>
          <w:sz w:val="24"/>
          <w:szCs w:val="22"/>
        </w:rPr>
        <w:t>年；</w:t>
      </w:r>
    </w:p>
    <w:p w14:paraId="4A69B3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4.供热及供冷为</w:t>
      </w:r>
      <w:r>
        <w:rPr>
          <w:rFonts w:hint="eastAsia" w:ascii="仿宋" w:hAnsi="仿宋" w:eastAsia="仿宋" w:cs="仿宋"/>
          <w:sz w:val="24"/>
          <w:szCs w:val="22"/>
          <w:u w:val="single"/>
        </w:rPr>
        <w:t xml:space="preserve"> 2 </w:t>
      </w:r>
      <w:r>
        <w:rPr>
          <w:rFonts w:hint="eastAsia" w:ascii="仿宋" w:hAnsi="仿宋" w:eastAsia="仿宋" w:cs="仿宋"/>
          <w:sz w:val="24"/>
          <w:szCs w:val="22"/>
        </w:rPr>
        <w:t>个采暖期及供冷期；</w:t>
      </w:r>
    </w:p>
    <w:p w14:paraId="59A386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5.其他约定：</w:t>
      </w:r>
      <w:r>
        <w:rPr>
          <w:rFonts w:hint="eastAsia" w:ascii="仿宋" w:hAnsi="仿宋" w:eastAsia="仿宋" w:cs="仿宋"/>
          <w:sz w:val="24"/>
          <w:szCs w:val="22"/>
          <w:u w:val="single"/>
        </w:rPr>
        <w:t xml:space="preserve">  / </w:t>
      </w:r>
      <w:r>
        <w:rPr>
          <w:rFonts w:hint="eastAsia" w:ascii="仿宋" w:hAnsi="仿宋" w:eastAsia="仿宋" w:cs="仿宋"/>
          <w:sz w:val="24"/>
          <w:szCs w:val="22"/>
        </w:rPr>
        <w:t xml:space="preserve"> 。 </w:t>
      </w:r>
    </w:p>
    <w:p w14:paraId="5E687DA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2"/>
        </w:rPr>
      </w:pPr>
      <w:r>
        <w:rPr>
          <w:rFonts w:hint="eastAsia" w:ascii="仿宋" w:hAnsi="仿宋" w:eastAsia="仿宋" w:cs="仿宋"/>
          <w:b/>
          <w:bCs/>
          <w:sz w:val="24"/>
          <w:szCs w:val="22"/>
        </w:rPr>
        <w:t xml:space="preserve"> 三、质量保修责任</w:t>
      </w:r>
    </w:p>
    <w:p w14:paraId="653F8E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1.属于保修范围和内容的项目，承包人应在接到修理通知之日后12小时内派人修理。承包人不在约定期限内，派人修理，发包人可委托其他人员修理，保修费用从质量保修金内扣除。</w:t>
      </w:r>
    </w:p>
    <w:p w14:paraId="7341F4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2.发生须紧急抢修事故(如上水跑水、暖气漏水漏气、燃气漏气等)，承包人接到事故通知后，应立即到达事故现场抢修。非承包人施工质量引起的事故，抢修费用由发包人承担。</w:t>
      </w:r>
    </w:p>
    <w:p w14:paraId="5DC34F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3.在国家规定的工程合理使用期限内，承包人确保地基基础工程和主体结构的质量。因承包人原因致使工程在合理使用期限内造成人身和财产损害的，承包人应承担损害赔偿责任。</w:t>
      </w:r>
    </w:p>
    <w:p w14:paraId="181A9C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4.质量保修完成后，由发包人组织验收。</w:t>
      </w:r>
    </w:p>
    <w:p w14:paraId="320B50E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2"/>
        </w:rPr>
      </w:pPr>
      <w:r>
        <w:rPr>
          <w:rFonts w:hint="eastAsia" w:ascii="仿宋" w:hAnsi="仿宋" w:eastAsia="仿宋" w:cs="仿宋"/>
          <w:b/>
          <w:bCs/>
          <w:sz w:val="24"/>
          <w:szCs w:val="22"/>
        </w:rPr>
        <w:t>四、质量保修金的支付</w:t>
      </w:r>
    </w:p>
    <w:p w14:paraId="3D02A9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工程质量保修金一般不超过施工合同价款的</w:t>
      </w:r>
      <w:r>
        <w:rPr>
          <w:rFonts w:hint="eastAsia" w:ascii="仿宋" w:hAnsi="仿宋" w:eastAsia="仿宋" w:cs="仿宋"/>
          <w:sz w:val="24"/>
          <w:szCs w:val="22"/>
          <w:u w:val="single"/>
        </w:rPr>
        <w:t xml:space="preserve"> /</w:t>
      </w:r>
      <w:r>
        <w:rPr>
          <w:rFonts w:hint="eastAsia" w:ascii="仿宋" w:hAnsi="仿宋" w:eastAsia="仿宋" w:cs="仿宋"/>
          <w:sz w:val="24"/>
          <w:szCs w:val="22"/>
        </w:rPr>
        <w:t>％，本工程约定的工程质量保修金为施工合同结算价款的</w:t>
      </w:r>
      <w:r>
        <w:rPr>
          <w:rFonts w:hint="eastAsia" w:ascii="仿宋" w:hAnsi="仿宋" w:eastAsia="仿宋" w:cs="仿宋"/>
          <w:sz w:val="24"/>
          <w:szCs w:val="22"/>
          <w:u w:val="single"/>
        </w:rPr>
        <w:t xml:space="preserve"> /</w:t>
      </w:r>
      <w:r>
        <w:rPr>
          <w:rFonts w:hint="eastAsia" w:ascii="仿宋" w:hAnsi="仿宋" w:eastAsia="仿宋" w:cs="仿宋"/>
          <w:sz w:val="24"/>
          <w:szCs w:val="22"/>
        </w:rPr>
        <w:t>％。</w:t>
      </w:r>
    </w:p>
    <w:p w14:paraId="32B14F4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2"/>
        </w:rPr>
      </w:pPr>
      <w:r>
        <w:rPr>
          <w:rFonts w:hint="eastAsia" w:ascii="仿宋" w:hAnsi="仿宋" w:eastAsia="仿宋" w:cs="仿宋"/>
          <w:b/>
          <w:bCs/>
          <w:sz w:val="24"/>
          <w:szCs w:val="22"/>
        </w:rPr>
        <w:t>五、其他</w:t>
      </w:r>
    </w:p>
    <w:p w14:paraId="6C935D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本工程质量保修书作为施工合同附件，由施工合同发包人、承包人双方共同签署。</w:t>
      </w:r>
    </w:p>
    <w:p w14:paraId="39B06633">
      <w:pPr>
        <w:pStyle w:val="3"/>
        <w:spacing w:line="360" w:lineRule="auto"/>
        <w:rPr>
          <w:rFonts w:hint="eastAsia" w:ascii="仿宋" w:hAnsi="仿宋" w:eastAsia="仿宋" w:cs="仿宋"/>
          <w:color w:val="000000"/>
          <w:sz w:val="24"/>
        </w:rPr>
      </w:pPr>
    </w:p>
    <w:p w14:paraId="311C4A1B">
      <w:pPr>
        <w:spacing w:line="360" w:lineRule="auto"/>
        <w:rPr>
          <w:rFonts w:hint="eastAsia" w:ascii="仿宋" w:hAnsi="仿宋" w:eastAsia="仿宋" w:cs="仿宋"/>
        </w:rPr>
      </w:pPr>
    </w:p>
    <w:p w14:paraId="46D8C30F">
      <w:pPr>
        <w:adjustRightInd w:val="0"/>
        <w:snapToGrid w:val="0"/>
        <w:spacing w:line="360" w:lineRule="auto"/>
        <w:ind w:firstLine="480" w:firstLineChars="200"/>
        <w:jc w:val="left"/>
        <w:rPr>
          <w:rFonts w:hint="eastAsia" w:ascii="仿宋" w:hAnsi="仿宋" w:eastAsia="仿宋" w:cs="仿宋"/>
          <w:color w:val="000000"/>
          <w:sz w:val="24"/>
          <w:szCs w:val="24"/>
        </w:rPr>
      </w:pPr>
    </w:p>
    <w:p w14:paraId="2A127D63">
      <w:pPr>
        <w:adjustRightInd w:val="0"/>
        <w:snapToGrid w:val="0"/>
        <w:spacing w:line="360" w:lineRule="auto"/>
        <w:jc w:val="left"/>
        <w:rPr>
          <w:rFonts w:hint="eastAsia" w:ascii="仿宋" w:hAnsi="仿宋" w:eastAsia="仿宋" w:cs="仿宋"/>
          <w:bCs/>
          <w:color w:val="000000"/>
          <w:sz w:val="24"/>
          <w:szCs w:val="24"/>
          <w:u w:val="single"/>
        </w:rPr>
      </w:pPr>
      <w:r>
        <w:rPr>
          <w:rFonts w:hint="eastAsia" w:ascii="仿宋" w:hAnsi="仿宋" w:eastAsia="仿宋" w:cs="仿宋"/>
          <w:bCs/>
          <w:color w:val="000000"/>
          <w:sz w:val="24"/>
          <w:szCs w:val="24"/>
        </w:rPr>
        <w:t>发 包 人：</w:t>
      </w:r>
      <w:r>
        <w:rPr>
          <w:rFonts w:hint="eastAsia" w:ascii="仿宋" w:hAnsi="仿宋" w:eastAsia="仿宋" w:cs="仿宋"/>
          <w:bCs/>
          <w:color w:val="000000"/>
          <w:sz w:val="24"/>
          <w:szCs w:val="24"/>
          <w:u w:val="single"/>
        </w:rPr>
        <w:t xml:space="preserve">   （盖章）           </w:t>
      </w:r>
      <w:r>
        <w:rPr>
          <w:rFonts w:hint="eastAsia" w:ascii="仿宋" w:hAnsi="仿宋" w:eastAsia="仿宋" w:cs="仿宋"/>
          <w:bCs/>
          <w:color w:val="000000"/>
          <w:sz w:val="24"/>
          <w:szCs w:val="24"/>
        </w:rPr>
        <w:t xml:space="preserve">       承 包 人：</w:t>
      </w:r>
      <w:r>
        <w:rPr>
          <w:rFonts w:hint="eastAsia" w:ascii="仿宋" w:hAnsi="仿宋" w:eastAsia="仿宋" w:cs="仿宋"/>
          <w:bCs/>
          <w:color w:val="000000"/>
          <w:sz w:val="24"/>
          <w:szCs w:val="24"/>
          <w:u w:val="single"/>
        </w:rPr>
        <w:t xml:space="preserve">   （盖章）         </w:t>
      </w:r>
    </w:p>
    <w:p w14:paraId="75C9BB78">
      <w:pPr>
        <w:adjustRightInd w:val="0"/>
        <w:snapToGrid w:val="0"/>
        <w:spacing w:line="360" w:lineRule="auto"/>
        <w:ind w:firstLine="480" w:firstLineChars="200"/>
        <w:jc w:val="left"/>
        <w:rPr>
          <w:rFonts w:hint="eastAsia" w:ascii="仿宋" w:hAnsi="仿宋" w:eastAsia="仿宋" w:cs="仿宋"/>
          <w:bCs/>
          <w:color w:val="000000"/>
          <w:sz w:val="24"/>
          <w:szCs w:val="24"/>
        </w:rPr>
      </w:pPr>
    </w:p>
    <w:p w14:paraId="66C6C13C">
      <w:pPr>
        <w:adjustRightInd w:val="0"/>
        <w:snapToGrid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法定代表人（签字或签章）               法定代表人（签字或签章）</w:t>
      </w:r>
    </w:p>
    <w:p w14:paraId="1E18C5E7">
      <w:pPr>
        <w:adjustRightInd w:val="0"/>
        <w:snapToGrid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或其授权代理人（签字）：</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或其授权代理人（签字）：</w:t>
      </w:r>
      <w:r>
        <w:rPr>
          <w:rFonts w:hint="eastAsia" w:ascii="仿宋" w:hAnsi="仿宋" w:eastAsia="仿宋" w:cs="仿宋"/>
          <w:color w:val="000000"/>
          <w:sz w:val="24"/>
          <w:szCs w:val="24"/>
          <w:u w:val="single"/>
        </w:rPr>
        <w:t xml:space="preserve">                </w:t>
      </w:r>
    </w:p>
    <w:p w14:paraId="214639B0">
      <w:pPr>
        <w:adjustRightInd w:val="0"/>
        <w:snapToGrid w:val="0"/>
        <w:spacing w:line="360" w:lineRule="auto"/>
        <w:jc w:val="left"/>
        <w:rPr>
          <w:rFonts w:hint="eastAsia" w:ascii="仿宋" w:hAnsi="仿宋" w:eastAsia="仿宋" w:cs="仿宋"/>
          <w:color w:val="000000"/>
          <w:sz w:val="24"/>
          <w:szCs w:val="24"/>
        </w:rPr>
      </w:pPr>
    </w:p>
    <w:p w14:paraId="39157B91">
      <w:pPr>
        <w:adjustRightInd w:val="0"/>
        <w:snapToGrid w:val="0"/>
        <w:spacing w:line="360" w:lineRule="auto"/>
        <w:jc w:val="left"/>
        <w:rPr>
          <w:rFonts w:hint="eastAsia" w:ascii="仿宋" w:hAnsi="仿宋" w:eastAsia="仿宋" w:cs="仿宋"/>
        </w:rPr>
      </w:pP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2025</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日                    </w:t>
      </w:r>
      <w:r>
        <w:rPr>
          <w:rFonts w:hint="eastAsia" w:ascii="仿宋" w:hAnsi="仿宋" w:eastAsia="仿宋" w:cs="仿宋"/>
          <w:color w:val="000000"/>
          <w:sz w:val="24"/>
          <w:szCs w:val="24"/>
          <w:u w:val="single"/>
        </w:rPr>
        <w:t>2025</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日 </w:t>
      </w:r>
    </w:p>
    <w:p w14:paraId="611127E4"/>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73CA7">
    <w:pPr>
      <w:spacing w:line="209" w:lineRule="auto"/>
      <w:ind w:left="4059"/>
      <w:rPr>
        <w:rFonts w:ascii="宋体" w:hAnsi="宋体" w:eastAsia="宋体" w:cs="宋体"/>
        <w:sz w:val="18"/>
        <w:szCs w:val="18"/>
      </w:rPr>
    </w:pPr>
    <w:r>
      <w:rPr>
        <w:rFonts w:ascii="宋体" w:hAnsi="宋体" w:eastAsia="宋体" w:cs="宋体"/>
        <w:spacing w:val="-5"/>
        <w:sz w:val="18"/>
        <w:szCs w:val="18"/>
      </w:rPr>
      <w:t>第</w:t>
    </w:r>
    <w:r>
      <w:rPr>
        <w:rFonts w:ascii="宋体" w:hAnsi="宋体" w:eastAsia="宋体" w:cs="宋体"/>
        <w:spacing w:val="10"/>
        <w:sz w:val="18"/>
        <w:szCs w:val="18"/>
      </w:rPr>
      <w:t xml:space="preserve"> </w:t>
    </w:r>
    <w:r>
      <w:rPr>
        <w:rFonts w:ascii="Calibri" w:hAnsi="Calibri" w:eastAsia="Calibri" w:cs="Calibri"/>
        <w:spacing w:val="-5"/>
        <w:sz w:val="18"/>
        <w:szCs w:val="18"/>
      </w:rPr>
      <w:t>62</w:t>
    </w:r>
    <w:r>
      <w:rPr>
        <w:rFonts w:ascii="Calibri" w:hAnsi="Calibri" w:eastAsia="Calibri" w:cs="Calibri"/>
        <w:spacing w:val="10"/>
        <w:w w:val="102"/>
        <w:sz w:val="18"/>
        <w:szCs w:val="18"/>
      </w:rPr>
      <w:t xml:space="preserve">  </w:t>
    </w:r>
    <w:r>
      <w:rPr>
        <w:rFonts w:ascii="宋体" w:hAnsi="宋体" w:eastAsia="宋体" w:cs="宋体"/>
        <w:spacing w:val="-5"/>
        <w:sz w:val="18"/>
        <w:szCs w:val="18"/>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4A5899"/>
    <w:rsid w:val="115049F7"/>
    <w:rsid w:val="164A589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1"/>
    <w:pPr>
      <w:spacing w:line="358" w:lineRule="exact"/>
      <w:ind w:left="679"/>
      <w:outlineLvl w:val="1"/>
    </w:pPr>
    <w:rPr>
      <w:rFonts w:ascii="宋体" w:hAnsi="宋体" w:eastAsia="宋体" w:cs="宋体"/>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120" w:right="397" w:firstLine="559"/>
    </w:pPr>
    <w:rPr>
      <w:rFonts w:ascii="宋体" w:hAnsi="宋体" w:eastAsia="宋体" w:cs="宋体"/>
      <w:sz w:val="28"/>
      <w:szCs w:val="28"/>
    </w:rPr>
  </w:style>
  <w:style w:type="paragraph" w:customStyle="1" w:styleId="6">
    <w:name w:val="Table Text"/>
    <w:basedOn w:val="1"/>
    <w:semiHidden/>
    <w:qFormat/>
    <w:uiPriority w:val="0"/>
    <w:rPr>
      <w:rFonts w:ascii="宋体" w:hAnsi="宋体" w:eastAsia="宋体" w:cs="宋体"/>
      <w:sz w:val="20"/>
      <w:szCs w:val="20"/>
      <w:lang w:val="en-US" w:eastAsia="en-US" w:bidi="ar-SA"/>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2025-07-14T04:25:00Z</dcterms:created>
  <dc:creator>樱桃小晨子 </dc:creator>
  <cp:lastModifiedBy>樱桃小晨子 </cp:lastModifiedBy>
  <dcterms:modified xsi:type="dcterms:W3CDTF">2025-07-14T05:09:21Z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F8F03A15DAC142539E452B067D4BC52E_13</vt:lpwstr>
  </property>
  <property fmtid="{D5CDD505-2E9C-101B-9397-08002B2CF9AE}" pid="4" name="KSOTemplateDocerSaveRecord">
    <vt:lpwstr>eyJoZGlkIjoiZWIyMTBjZWRiMmI4ZWUwYWJkNzU1ZTY5OTRjYjVmOGEiLCJ1c2VySWQiOiIxMjkzNTU3MjkzIn0=</vt:lpwstr>
  </property>
</Properties>
</file>