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96C247">
      <w:pPr>
        <w:pStyle w:val="4"/>
        <w:jc w:val="center"/>
        <w:outlineLvl w:val="1"/>
        <w:rPr>
          <w:rFonts w:hint="eastAsia" w:ascii="宋体" w:hAnsi="宋体" w:eastAsia="宋体" w:cs="宋体"/>
        </w:rPr>
      </w:pPr>
      <w:r>
        <w:rPr>
          <w:rFonts w:hint="eastAsia" w:ascii="宋体" w:hAnsi="宋体" w:eastAsia="宋体" w:cs="宋体"/>
          <w:b/>
          <w:sz w:val="36"/>
        </w:rPr>
        <w:t>拟签订采购合同文本</w:t>
      </w:r>
    </w:p>
    <w:p w14:paraId="5BD0B502">
      <w:pPr>
        <w:spacing w:before="120" w:line="360" w:lineRule="auto"/>
        <w:jc w:val="both"/>
        <w:rPr>
          <w:rFonts w:hint="eastAsia" w:ascii="宋体" w:hAnsi="宋体" w:eastAsia="宋体" w:cs="宋体"/>
          <w:b/>
          <w:bCs/>
          <w:sz w:val="28"/>
          <w:szCs w:val="28"/>
        </w:rPr>
      </w:pPr>
    </w:p>
    <w:p w14:paraId="67ED85AE">
      <w:pPr>
        <w:spacing w:before="120"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（参考格式）</w:t>
      </w:r>
    </w:p>
    <w:p w14:paraId="49816AEB">
      <w:pPr>
        <w:spacing w:before="120" w:line="360" w:lineRule="auto"/>
        <w:jc w:val="center"/>
        <w:rPr>
          <w:rFonts w:hint="eastAsia" w:ascii="宋体" w:hAnsi="宋体" w:eastAsia="宋体" w:cs="宋体"/>
          <w:b/>
          <w:bCs/>
          <w:sz w:val="36"/>
          <w:szCs w:val="36"/>
        </w:rPr>
      </w:pPr>
    </w:p>
    <w:p w14:paraId="46B442EE">
      <w:pPr>
        <w:spacing w:before="120" w:line="360" w:lineRule="auto"/>
        <w:jc w:val="center"/>
        <w:rPr>
          <w:rFonts w:hint="eastAsia" w:ascii="宋体" w:hAnsi="宋体" w:eastAsia="宋体" w:cs="宋体"/>
          <w:b/>
          <w:bCs/>
          <w:sz w:val="36"/>
          <w:szCs w:val="36"/>
        </w:rPr>
      </w:pPr>
    </w:p>
    <w:p w14:paraId="2FECD5E9">
      <w:pPr>
        <w:spacing w:before="120"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政 府 采 购 合 同</w:t>
      </w:r>
    </w:p>
    <w:p w14:paraId="0C19CFE2">
      <w:pPr>
        <w:spacing w:before="120" w:line="360" w:lineRule="auto"/>
        <w:jc w:val="center"/>
        <w:rPr>
          <w:rFonts w:hint="eastAsia" w:ascii="宋体" w:hAnsi="宋体" w:eastAsia="宋体" w:cs="宋体"/>
          <w:sz w:val="28"/>
          <w:szCs w:val="28"/>
        </w:rPr>
      </w:pPr>
    </w:p>
    <w:p w14:paraId="23AB8DA6">
      <w:pPr>
        <w:spacing w:before="120" w:line="360" w:lineRule="auto"/>
        <w:ind w:firstLine="3064" w:firstLineChars="1090"/>
        <w:rPr>
          <w:rFonts w:hint="eastAsia" w:ascii="宋体" w:hAnsi="宋体" w:eastAsia="宋体" w:cs="宋体"/>
          <w:sz w:val="28"/>
          <w:szCs w:val="28"/>
        </w:rPr>
      </w:pPr>
      <w:bookmarkStart w:id="0" w:name="_Toc109543216"/>
      <w:bookmarkStart w:id="1" w:name="_Toc109542396"/>
      <w:r>
        <w:rPr>
          <w:rFonts w:hint="eastAsia" w:ascii="宋体" w:hAnsi="宋体" w:eastAsia="宋体" w:cs="宋体"/>
          <w:b/>
          <w:bCs/>
          <w:sz w:val="28"/>
          <w:szCs w:val="28"/>
        </w:rPr>
        <w:t>合同编号：</w:t>
      </w:r>
      <w:bookmarkEnd w:id="0"/>
      <w:bookmarkEnd w:id="1"/>
      <w:r>
        <w:rPr>
          <w:rFonts w:hint="eastAsia" w:ascii="宋体" w:hAnsi="宋体" w:eastAsia="宋体" w:cs="宋体"/>
          <w:b/>
          <w:bCs/>
          <w:sz w:val="28"/>
          <w:szCs w:val="28"/>
          <w:u w:val="single"/>
        </w:rPr>
        <w:t xml:space="preserve">            </w:t>
      </w:r>
      <w:r>
        <w:rPr>
          <w:rFonts w:hint="eastAsia" w:ascii="宋体" w:hAnsi="宋体" w:eastAsia="宋体" w:cs="宋体"/>
          <w:sz w:val="28"/>
          <w:szCs w:val="28"/>
        </w:rPr>
        <w:t xml:space="preserve">        </w:t>
      </w:r>
    </w:p>
    <w:p w14:paraId="1875A931">
      <w:pPr>
        <w:spacing w:before="120" w:line="360" w:lineRule="auto"/>
        <w:rPr>
          <w:rFonts w:hint="eastAsia" w:ascii="宋体" w:hAnsi="宋体" w:eastAsia="宋体" w:cs="宋体"/>
          <w:b/>
          <w:bCs/>
          <w:sz w:val="28"/>
          <w:szCs w:val="28"/>
        </w:rPr>
      </w:pPr>
    </w:p>
    <w:p w14:paraId="15DED898">
      <w:pPr>
        <w:spacing w:before="120" w:line="360" w:lineRule="auto"/>
        <w:ind w:left="960"/>
        <w:rPr>
          <w:rFonts w:hint="eastAsia" w:ascii="宋体" w:hAnsi="宋体" w:eastAsia="宋体" w:cs="宋体"/>
          <w:b/>
          <w:bCs/>
          <w:sz w:val="28"/>
          <w:szCs w:val="28"/>
          <w:u w:val="single"/>
        </w:rPr>
      </w:pPr>
      <w:r>
        <w:rPr>
          <w:rFonts w:hint="eastAsia" w:ascii="宋体" w:hAnsi="宋体" w:eastAsia="宋体" w:cs="宋体"/>
          <w:b/>
          <w:bCs/>
          <w:sz w:val="28"/>
          <w:szCs w:val="28"/>
        </w:rPr>
        <w:t>项目名称：</w:t>
      </w:r>
      <w:r>
        <w:rPr>
          <w:rFonts w:hint="eastAsia" w:ascii="宋体" w:hAnsi="宋体" w:eastAsia="宋体" w:cs="宋体"/>
          <w:b/>
          <w:bCs/>
          <w:sz w:val="28"/>
          <w:szCs w:val="28"/>
          <w:u w:val="single"/>
        </w:rPr>
        <w:t xml:space="preserve">                                </w:t>
      </w:r>
    </w:p>
    <w:p w14:paraId="6D58B466">
      <w:pPr>
        <w:spacing w:before="120" w:line="360" w:lineRule="auto"/>
        <w:ind w:left="960"/>
        <w:rPr>
          <w:rFonts w:hint="eastAsia" w:ascii="宋体" w:hAnsi="宋体" w:eastAsia="宋体" w:cs="宋体"/>
          <w:b/>
          <w:bCs/>
          <w:sz w:val="28"/>
          <w:szCs w:val="28"/>
        </w:rPr>
      </w:pPr>
    </w:p>
    <w:p w14:paraId="4C16C3BE">
      <w:pPr>
        <w:spacing w:before="120" w:line="360" w:lineRule="auto"/>
        <w:ind w:left="960"/>
        <w:rPr>
          <w:rFonts w:hint="eastAsia" w:ascii="宋体" w:hAnsi="宋体" w:eastAsia="宋体" w:cs="宋体"/>
          <w:b/>
          <w:bCs/>
          <w:sz w:val="28"/>
          <w:szCs w:val="28"/>
          <w:u w:val="single"/>
        </w:rPr>
      </w:pPr>
      <w:r>
        <w:rPr>
          <w:rFonts w:hint="eastAsia" w:ascii="宋体" w:hAnsi="宋体" w:eastAsia="宋体" w:cs="宋体"/>
          <w:b/>
          <w:bCs/>
          <w:sz w:val="28"/>
          <w:szCs w:val="28"/>
        </w:rPr>
        <w:t>采购内容：</w:t>
      </w:r>
      <w:r>
        <w:rPr>
          <w:rFonts w:hint="eastAsia" w:ascii="宋体" w:hAnsi="宋体" w:eastAsia="宋体" w:cs="宋体"/>
          <w:b/>
          <w:bCs/>
          <w:sz w:val="28"/>
          <w:szCs w:val="28"/>
          <w:u w:val="single"/>
        </w:rPr>
        <w:t xml:space="preserve">                                    </w:t>
      </w:r>
    </w:p>
    <w:p w14:paraId="2824AFC4">
      <w:pPr>
        <w:spacing w:before="120" w:line="360" w:lineRule="auto"/>
        <w:ind w:left="960"/>
        <w:rPr>
          <w:rFonts w:hint="eastAsia" w:ascii="宋体" w:hAnsi="宋体" w:eastAsia="宋体" w:cs="宋体"/>
          <w:b/>
          <w:bCs/>
          <w:sz w:val="28"/>
          <w:szCs w:val="28"/>
        </w:rPr>
      </w:pPr>
    </w:p>
    <w:p w14:paraId="1B398974">
      <w:pPr>
        <w:spacing w:before="120" w:line="360" w:lineRule="auto"/>
        <w:ind w:left="960"/>
        <w:rPr>
          <w:rFonts w:hint="eastAsia" w:ascii="宋体" w:hAnsi="宋体" w:eastAsia="宋体" w:cs="宋体"/>
          <w:b/>
          <w:bCs/>
          <w:sz w:val="28"/>
          <w:szCs w:val="28"/>
        </w:rPr>
      </w:pPr>
      <w:r>
        <w:rPr>
          <w:rFonts w:hint="eastAsia" w:ascii="宋体" w:hAnsi="宋体" w:eastAsia="宋体" w:cs="宋体"/>
          <w:b/>
          <w:bCs/>
          <w:sz w:val="28"/>
          <w:szCs w:val="28"/>
        </w:rPr>
        <w:t>采购人：</w:t>
      </w:r>
      <w:r>
        <w:rPr>
          <w:rFonts w:hint="eastAsia" w:ascii="宋体" w:hAnsi="宋体" w:eastAsia="宋体" w:cs="宋体"/>
          <w:b/>
          <w:bCs/>
          <w:sz w:val="28"/>
          <w:szCs w:val="28"/>
          <w:u w:val="single"/>
        </w:rPr>
        <w:t xml:space="preserve">                                       </w:t>
      </w:r>
    </w:p>
    <w:p w14:paraId="511FEA52">
      <w:pPr>
        <w:spacing w:before="120" w:line="360" w:lineRule="auto"/>
        <w:ind w:left="960"/>
        <w:rPr>
          <w:rFonts w:hint="eastAsia" w:ascii="宋体" w:hAnsi="宋体" w:eastAsia="宋体" w:cs="宋体"/>
          <w:b/>
          <w:bCs/>
          <w:sz w:val="28"/>
          <w:szCs w:val="28"/>
        </w:rPr>
      </w:pPr>
    </w:p>
    <w:p w14:paraId="6D31470F">
      <w:pPr>
        <w:spacing w:before="120" w:line="360" w:lineRule="auto"/>
        <w:ind w:left="960"/>
        <w:rPr>
          <w:rFonts w:hint="eastAsia" w:ascii="宋体" w:hAnsi="宋体" w:eastAsia="宋体" w:cs="宋体"/>
          <w:b/>
          <w:bCs/>
          <w:sz w:val="28"/>
          <w:szCs w:val="28"/>
          <w:u w:val="single"/>
        </w:rPr>
      </w:pPr>
      <w:r>
        <w:rPr>
          <w:rFonts w:hint="eastAsia" w:ascii="宋体" w:hAnsi="宋体" w:eastAsia="宋体" w:cs="宋体"/>
          <w:b/>
          <w:bCs/>
          <w:sz w:val="28"/>
          <w:szCs w:val="28"/>
        </w:rPr>
        <w:t>中标供应商：</w:t>
      </w:r>
      <w:r>
        <w:rPr>
          <w:rFonts w:hint="eastAsia" w:ascii="宋体" w:hAnsi="宋体" w:eastAsia="宋体" w:cs="宋体"/>
          <w:b/>
          <w:bCs/>
          <w:sz w:val="28"/>
          <w:szCs w:val="28"/>
          <w:u w:val="single"/>
        </w:rPr>
        <w:t xml:space="preserve">                                   </w:t>
      </w:r>
    </w:p>
    <w:p w14:paraId="772DA874">
      <w:pPr>
        <w:spacing w:before="120" w:line="360" w:lineRule="auto"/>
        <w:ind w:firstLine="843" w:firstLineChars="350"/>
        <w:rPr>
          <w:rFonts w:hint="eastAsia" w:ascii="宋体" w:hAnsi="宋体" w:eastAsia="宋体" w:cs="宋体"/>
          <w:b/>
          <w:bCs/>
          <w:sz w:val="24"/>
          <w:szCs w:val="24"/>
        </w:rPr>
      </w:pPr>
    </w:p>
    <w:p w14:paraId="04834095">
      <w:pPr>
        <w:ind w:firstLine="981" w:firstLineChars="349"/>
        <w:rPr>
          <w:rFonts w:hint="eastAsia" w:ascii="宋体" w:hAnsi="宋体" w:eastAsia="宋体" w:cs="宋体"/>
          <w:b/>
          <w:bCs/>
          <w:sz w:val="24"/>
          <w:szCs w:val="24"/>
        </w:rPr>
      </w:pPr>
      <w:r>
        <w:rPr>
          <w:rFonts w:hint="eastAsia" w:ascii="宋体" w:hAnsi="宋体" w:eastAsia="宋体" w:cs="宋体"/>
          <w:b/>
          <w:bCs/>
          <w:sz w:val="28"/>
          <w:szCs w:val="28"/>
        </w:rPr>
        <w:t>签署日期：</w:t>
      </w:r>
      <w:r>
        <w:rPr>
          <w:rFonts w:hint="eastAsia" w:ascii="宋体" w:hAnsi="宋体" w:eastAsia="宋体" w:cs="宋体"/>
          <w:b/>
          <w:bCs/>
          <w:sz w:val="24"/>
          <w:szCs w:val="24"/>
          <w:u w:val="single"/>
        </w:rPr>
        <w:t xml:space="preserve">　　　　　　　　　　　　　              　 </w:t>
      </w:r>
    </w:p>
    <w:p w14:paraId="12558B18">
      <w:pPr>
        <w:rPr>
          <w:rFonts w:hint="eastAsia" w:ascii="宋体" w:hAnsi="宋体" w:eastAsia="宋体" w:cs="宋体"/>
          <w:b/>
          <w:sz w:val="32"/>
          <w:szCs w:val="32"/>
          <w:u w:val="single"/>
        </w:rPr>
      </w:pPr>
      <w:r>
        <w:rPr>
          <w:rFonts w:hint="eastAsia" w:ascii="宋体" w:hAnsi="宋体" w:eastAsia="宋体" w:cs="宋体"/>
          <w:b/>
          <w:sz w:val="32"/>
          <w:szCs w:val="32"/>
          <w:u w:val="single"/>
        </w:rPr>
        <w:br w:type="page"/>
      </w:r>
    </w:p>
    <w:p w14:paraId="250326CC">
      <w:pPr>
        <w:tabs>
          <w:tab w:val="left" w:pos="3195"/>
        </w:tabs>
        <w:spacing w:before="120" w:beforeLines="50" w:after="120" w:afterLines="50"/>
        <w:ind w:firstLine="1928" w:firstLineChars="600"/>
        <w:rPr>
          <w:rFonts w:hint="eastAsia" w:ascii="宋体" w:hAnsi="宋体" w:eastAsia="宋体" w:cs="宋体"/>
          <w:b/>
          <w:sz w:val="32"/>
          <w:szCs w:val="32"/>
        </w:rPr>
      </w:pPr>
      <w:r>
        <w:rPr>
          <w:rFonts w:hint="eastAsia" w:ascii="宋体" w:hAnsi="宋体" w:eastAsia="宋体" w:cs="宋体"/>
          <w:b/>
          <w:sz w:val="32"/>
          <w:szCs w:val="32"/>
          <w:u w:val="single"/>
        </w:rPr>
        <w:t xml:space="preserve">                          </w:t>
      </w:r>
      <w:r>
        <w:rPr>
          <w:rFonts w:hint="eastAsia" w:ascii="宋体" w:hAnsi="宋体" w:eastAsia="宋体" w:cs="宋体"/>
          <w:b/>
          <w:sz w:val="32"/>
          <w:szCs w:val="32"/>
        </w:rPr>
        <w:t>项目</w:t>
      </w:r>
    </w:p>
    <w:p w14:paraId="17841E02">
      <w:pPr>
        <w:tabs>
          <w:tab w:val="left" w:pos="3195"/>
        </w:tabs>
        <w:spacing w:before="120" w:beforeLines="50" w:after="120" w:afterLines="50"/>
        <w:jc w:val="center"/>
        <w:rPr>
          <w:rFonts w:hint="eastAsia" w:ascii="宋体" w:hAnsi="宋体" w:eastAsia="宋体" w:cs="宋体"/>
          <w:b/>
          <w:sz w:val="24"/>
          <w:szCs w:val="24"/>
        </w:rPr>
      </w:pPr>
      <w:r>
        <w:rPr>
          <w:rFonts w:hint="eastAsia" w:ascii="宋体" w:hAnsi="宋体" w:eastAsia="宋体" w:cs="宋体"/>
          <w:b/>
          <w:sz w:val="24"/>
          <w:szCs w:val="24"/>
        </w:rPr>
        <w:t>合 同 书</w:t>
      </w:r>
    </w:p>
    <w:p w14:paraId="49196BE0">
      <w:pPr>
        <w:tabs>
          <w:tab w:val="left" w:pos="735"/>
        </w:tabs>
        <w:autoSpaceDE w:val="0"/>
        <w:autoSpaceDN w:val="0"/>
        <w:adjustRightInd w:val="0"/>
        <w:snapToGrid w:val="0"/>
        <w:spacing w:line="360" w:lineRule="auto"/>
        <w:rPr>
          <w:rFonts w:hint="eastAsia" w:ascii="宋体" w:hAnsi="宋体" w:eastAsia="宋体" w:cs="宋体"/>
          <w:b/>
          <w:bCs/>
          <w:sz w:val="24"/>
          <w:szCs w:val="24"/>
          <w:lang w:val="zh-CN"/>
        </w:rPr>
      </w:pPr>
    </w:p>
    <w:p w14:paraId="7727C881">
      <w:pPr>
        <w:tabs>
          <w:tab w:val="left" w:pos="735"/>
        </w:tabs>
        <w:autoSpaceDE w:val="0"/>
        <w:autoSpaceDN w:val="0"/>
        <w:adjustRightInd w:val="0"/>
        <w:snapToGrid w:val="0"/>
        <w:spacing w:line="360" w:lineRule="auto"/>
        <w:rPr>
          <w:rFonts w:hint="eastAsia" w:ascii="宋体" w:hAnsi="宋体" w:eastAsia="宋体" w:cs="宋体"/>
          <w:b/>
          <w:bCs/>
          <w:sz w:val="24"/>
          <w:szCs w:val="24"/>
          <w:lang w:val="zh-CN"/>
        </w:rPr>
      </w:pPr>
      <w:r>
        <w:rPr>
          <w:rFonts w:hint="eastAsia" w:ascii="宋体" w:hAnsi="宋体" w:eastAsia="宋体" w:cs="宋体"/>
          <w:b/>
          <w:bCs/>
          <w:sz w:val="24"/>
          <w:szCs w:val="24"/>
          <w:lang w:val="zh-CN"/>
        </w:rPr>
        <w:t xml:space="preserve">甲方： </w:t>
      </w:r>
    </w:p>
    <w:p w14:paraId="4693139D">
      <w:pPr>
        <w:tabs>
          <w:tab w:val="left" w:pos="735"/>
        </w:tabs>
        <w:autoSpaceDE w:val="0"/>
        <w:autoSpaceDN w:val="0"/>
        <w:adjustRightInd w:val="0"/>
        <w:snapToGrid w:val="0"/>
        <w:spacing w:line="360" w:lineRule="auto"/>
        <w:rPr>
          <w:rFonts w:hint="eastAsia" w:ascii="宋体" w:hAnsi="宋体" w:eastAsia="宋体" w:cs="宋体"/>
          <w:bCs/>
          <w:sz w:val="24"/>
          <w:szCs w:val="24"/>
          <w:lang w:val="zh-CN"/>
        </w:rPr>
      </w:pPr>
      <w:r>
        <w:rPr>
          <w:rFonts w:hint="eastAsia" w:ascii="宋体" w:hAnsi="宋体" w:eastAsia="宋体" w:cs="宋体"/>
          <w:b/>
          <w:bCs/>
          <w:sz w:val="24"/>
          <w:szCs w:val="24"/>
          <w:lang w:val="zh-CN"/>
        </w:rPr>
        <w:t>乙方：</w:t>
      </w:r>
    </w:p>
    <w:p w14:paraId="2C43B39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供应商中标后，需与采购人按照</w:t>
      </w:r>
      <w:r>
        <w:rPr>
          <w:rFonts w:hint="eastAsia" w:ascii="宋体" w:hAnsi="宋体" w:eastAsia="宋体" w:cs="宋体"/>
          <w:sz w:val="24"/>
          <w:szCs w:val="24"/>
          <w:lang w:eastAsia="zh-CN"/>
        </w:rPr>
        <w:t>招标文件</w:t>
      </w:r>
      <w:r>
        <w:rPr>
          <w:rFonts w:hint="eastAsia" w:ascii="宋体" w:hAnsi="宋体" w:eastAsia="宋体" w:cs="宋体"/>
          <w:sz w:val="24"/>
          <w:szCs w:val="24"/>
        </w:rPr>
        <w:t>、</w:t>
      </w:r>
      <w:r>
        <w:rPr>
          <w:rFonts w:hint="eastAsia" w:ascii="宋体" w:hAnsi="宋体" w:eastAsia="宋体" w:cs="宋体"/>
          <w:sz w:val="24"/>
          <w:szCs w:val="24"/>
          <w:lang w:eastAsia="zh-CN"/>
        </w:rPr>
        <w:t>投标文件</w:t>
      </w:r>
      <w:r>
        <w:rPr>
          <w:rFonts w:hint="eastAsia" w:ascii="宋体" w:hAnsi="宋体" w:eastAsia="宋体" w:cs="宋体"/>
          <w:sz w:val="24"/>
          <w:szCs w:val="24"/>
        </w:rPr>
        <w:t>以及采购人提出的要求，签署相关合同。拟签署的合同主要条款如下：</w:t>
      </w:r>
    </w:p>
    <w:p w14:paraId="5D4F7346">
      <w:pPr>
        <w:spacing w:line="360" w:lineRule="auto"/>
        <w:ind w:firstLine="482" w:firstLineChars="200"/>
        <w:rPr>
          <w:rFonts w:hint="eastAsia" w:ascii="宋体" w:hAnsi="宋体" w:eastAsia="宋体" w:cs="宋体"/>
          <w:b/>
          <w:bCs/>
          <w:sz w:val="24"/>
          <w:szCs w:val="24"/>
        </w:rPr>
      </w:pPr>
      <w:bookmarkStart w:id="2" w:name="_Toc244416560"/>
      <w:r>
        <w:rPr>
          <w:rFonts w:hint="eastAsia" w:ascii="宋体" w:hAnsi="宋体" w:eastAsia="宋体" w:cs="宋体"/>
          <w:b/>
          <w:bCs/>
          <w:sz w:val="24"/>
          <w:szCs w:val="24"/>
        </w:rPr>
        <w:t>1.组成合同的主要文件</w:t>
      </w:r>
      <w:bookmarkEnd w:id="2"/>
    </w:p>
    <w:p w14:paraId="72F86D9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1.采购人与中标供应商签署的合同中的所有条款；</w:t>
      </w:r>
    </w:p>
    <w:p w14:paraId="2C83BDE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中标</w:t>
      </w:r>
      <w:r>
        <w:rPr>
          <w:rFonts w:hint="eastAsia" w:ascii="宋体" w:hAnsi="宋体" w:eastAsia="宋体" w:cs="宋体"/>
          <w:sz w:val="24"/>
          <w:szCs w:val="24"/>
        </w:rPr>
        <w:t>通知书；</w:t>
      </w:r>
    </w:p>
    <w:p w14:paraId="0FB7213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招标文件</w:t>
      </w:r>
      <w:r>
        <w:rPr>
          <w:rFonts w:hint="eastAsia" w:ascii="宋体" w:hAnsi="宋体" w:eastAsia="宋体" w:cs="宋体"/>
          <w:sz w:val="24"/>
          <w:szCs w:val="24"/>
        </w:rPr>
        <w:t>及澄清（如有）</w:t>
      </w:r>
    </w:p>
    <w:p w14:paraId="350AC24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投标文件</w:t>
      </w:r>
      <w:r>
        <w:rPr>
          <w:rFonts w:hint="eastAsia" w:ascii="宋体" w:hAnsi="宋体" w:eastAsia="宋体" w:cs="宋体"/>
          <w:sz w:val="24"/>
          <w:szCs w:val="24"/>
        </w:rPr>
        <w:t>及澄清（如有）</w:t>
      </w:r>
    </w:p>
    <w:p w14:paraId="2A9B51D4">
      <w:pPr>
        <w:spacing w:line="360" w:lineRule="auto"/>
        <w:ind w:firstLine="482" w:firstLineChars="200"/>
        <w:rPr>
          <w:rFonts w:hint="eastAsia" w:ascii="宋体" w:hAnsi="宋体" w:eastAsia="宋体" w:cs="宋体"/>
          <w:sz w:val="24"/>
          <w:szCs w:val="24"/>
        </w:rPr>
      </w:pPr>
      <w:bookmarkStart w:id="3" w:name="_Toc244416561"/>
      <w:r>
        <w:rPr>
          <w:rFonts w:hint="eastAsia" w:ascii="宋体" w:hAnsi="宋体" w:eastAsia="宋体" w:cs="宋体"/>
          <w:b/>
          <w:bCs/>
          <w:sz w:val="24"/>
          <w:szCs w:val="24"/>
        </w:rPr>
        <w:t>2.</w:t>
      </w:r>
      <w:bookmarkEnd w:id="3"/>
      <w:r>
        <w:rPr>
          <w:rFonts w:hint="eastAsia" w:ascii="宋体" w:hAnsi="宋体" w:eastAsia="宋体" w:cs="宋体"/>
          <w:b/>
          <w:bCs/>
          <w:sz w:val="24"/>
          <w:szCs w:val="24"/>
        </w:rPr>
        <w:t>合同价款、付款方式及比例</w:t>
      </w:r>
    </w:p>
    <w:p w14:paraId="49E9B8A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2.1合同价款及比例</w:t>
      </w:r>
    </w:p>
    <w:p w14:paraId="010B0DE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2.2合同价款的支付方式为：</w:t>
      </w:r>
    </w:p>
    <w:p w14:paraId="2DC864F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2.3款项支付时，中标供应商须按采购方要求提供正式发票等付款所需的材料。发票开具的“单位名称”：</w:t>
      </w:r>
    </w:p>
    <w:p w14:paraId="6E1D206A">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3.验收标准及方法</w:t>
      </w:r>
    </w:p>
    <w:p w14:paraId="2148E72B">
      <w:pPr>
        <w:snapToGrid w:val="0"/>
        <w:spacing w:line="360" w:lineRule="auto"/>
        <w:ind w:right="-45" w:firstLine="480" w:firstLineChars="200"/>
        <w:rPr>
          <w:rFonts w:hint="eastAsia" w:ascii="宋体" w:hAnsi="宋体" w:eastAsia="宋体" w:cs="宋体"/>
          <w:sz w:val="24"/>
          <w:szCs w:val="24"/>
        </w:rPr>
      </w:pPr>
      <w:r>
        <w:rPr>
          <w:rFonts w:hint="eastAsia" w:ascii="宋体" w:hAnsi="宋体" w:eastAsia="宋体" w:cs="宋体"/>
          <w:sz w:val="24"/>
          <w:szCs w:val="24"/>
        </w:rPr>
        <w:t>3.1 本合同下交付的服务必须等同或优于本项目</w:t>
      </w:r>
      <w:r>
        <w:rPr>
          <w:rFonts w:hint="eastAsia" w:ascii="宋体" w:hAnsi="宋体" w:eastAsia="宋体" w:cs="宋体"/>
          <w:sz w:val="24"/>
          <w:szCs w:val="24"/>
          <w:lang w:eastAsia="zh-CN"/>
        </w:rPr>
        <w:t>招标文件</w:t>
      </w:r>
      <w:r>
        <w:rPr>
          <w:rFonts w:hint="eastAsia" w:ascii="宋体" w:hAnsi="宋体" w:eastAsia="宋体" w:cs="宋体"/>
          <w:sz w:val="24"/>
          <w:szCs w:val="24"/>
        </w:rPr>
        <w:t>“服务内容及要求”所述的标准。若乙方在其</w:t>
      </w:r>
      <w:r>
        <w:rPr>
          <w:rFonts w:hint="eastAsia" w:ascii="宋体" w:hAnsi="宋体" w:eastAsia="宋体" w:cs="宋体"/>
          <w:sz w:val="24"/>
          <w:szCs w:val="24"/>
          <w:lang w:eastAsia="zh-CN"/>
        </w:rPr>
        <w:t>投标文件</w:t>
      </w:r>
      <w:r>
        <w:rPr>
          <w:rFonts w:hint="eastAsia" w:ascii="宋体" w:hAnsi="宋体" w:eastAsia="宋体" w:cs="宋体"/>
          <w:sz w:val="24"/>
          <w:szCs w:val="24"/>
        </w:rPr>
        <w:t>中承诺的技术标准优于本项目</w:t>
      </w:r>
      <w:r>
        <w:rPr>
          <w:rFonts w:hint="eastAsia" w:ascii="宋体" w:hAnsi="宋体" w:eastAsia="宋体" w:cs="宋体"/>
          <w:sz w:val="24"/>
          <w:szCs w:val="24"/>
          <w:lang w:eastAsia="zh-CN"/>
        </w:rPr>
        <w:t>招标文件</w:t>
      </w:r>
      <w:r>
        <w:rPr>
          <w:rFonts w:hint="eastAsia" w:ascii="宋体" w:hAnsi="宋体" w:eastAsia="宋体" w:cs="宋体"/>
          <w:sz w:val="24"/>
          <w:szCs w:val="24"/>
        </w:rPr>
        <w:t>“服务内容及要求”所述标准的，按</w:t>
      </w:r>
      <w:r>
        <w:rPr>
          <w:rFonts w:hint="eastAsia" w:ascii="宋体" w:hAnsi="宋体" w:eastAsia="宋体" w:cs="宋体"/>
          <w:sz w:val="24"/>
          <w:szCs w:val="24"/>
          <w:lang w:eastAsia="zh-CN"/>
        </w:rPr>
        <w:t>投标文件</w:t>
      </w:r>
      <w:r>
        <w:rPr>
          <w:rFonts w:hint="eastAsia" w:ascii="宋体" w:hAnsi="宋体" w:eastAsia="宋体" w:cs="宋体"/>
          <w:sz w:val="24"/>
          <w:szCs w:val="24"/>
        </w:rPr>
        <w:t>的承诺执行。</w:t>
      </w:r>
    </w:p>
    <w:p w14:paraId="6E7C59E3">
      <w:pPr>
        <w:snapToGrid w:val="0"/>
        <w:spacing w:line="360" w:lineRule="auto"/>
        <w:ind w:right="-45" w:firstLine="480" w:firstLineChars="200"/>
        <w:rPr>
          <w:rFonts w:hint="eastAsia" w:ascii="宋体" w:hAnsi="宋体" w:eastAsia="宋体" w:cs="宋体"/>
        </w:rPr>
      </w:pPr>
      <w:r>
        <w:rPr>
          <w:rFonts w:hint="eastAsia" w:ascii="宋体" w:hAnsi="宋体" w:eastAsia="宋体" w:cs="宋体"/>
          <w:sz w:val="24"/>
          <w:szCs w:val="24"/>
        </w:rPr>
        <w:t>3.2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14:paraId="10F1F41F">
      <w:pPr>
        <w:snapToGrid w:val="0"/>
        <w:spacing w:line="360" w:lineRule="auto"/>
        <w:ind w:right="-45" w:firstLine="480" w:firstLineChars="200"/>
        <w:rPr>
          <w:rFonts w:hint="eastAsia" w:ascii="宋体" w:hAnsi="宋体" w:eastAsia="宋体" w:cs="宋体"/>
          <w:sz w:val="24"/>
          <w:szCs w:val="24"/>
        </w:rPr>
      </w:pPr>
      <w:r>
        <w:rPr>
          <w:rFonts w:hint="eastAsia" w:ascii="宋体" w:hAnsi="宋体" w:eastAsia="宋体" w:cs="宋体"/>
          <w:sz w:val="24"/>
          <w:szCs w:val="24"/>
        </w:rPr>
        <w:t>3.3 验收依据</w:t>
      </w:r>
    </w:p>
    <w:p w14:paraId="2D66CB98">
      <w:pPr>
        <w:snapToGrid w:val="0"/>
        <w:spacing w:line="360" w:lineRule="auto"/>
        <w:ind w:right="-45" w:firstLine="480" w:firstLineChars="200"/>
        <w:rPr>
          <w:rFonts w:hint="eastAsia" w:ascii="宋体" w:hAnsi="宋体" w:eastAsia="宋体" w:cs="宋体"/>
          <w:sz w:val="24"/>
          <w:szCs w:val="24"/>
        </w:rPr>
      </w:pPr>
      <w:r>
        <w:rPr>
          <w:rFonts w:hint="eastAsia" w:ascii="宋体" w:hAnsi="宋体" w:eastAsia="宋体" w:cs="宋体"/>
          <w:sz w:val="24"/>
        </w:rPr>
        <w:t>⑴</w:t>
      </w:r>
      <w:r>
        <w:rPr>
          <w:rFonts w:hint="eastAsia" w:ascii="宋体" w:hAnsi="宋体" w:eastAsia="宋体" w:cs="宋体"/>
          <w:sz w:val="24"/>
          <w:szCs w:val="24"/>
        </w:rPr>
        <w:t xml:space="preserve">本合同及附件文本所约定的验收标准； </w:t>
      </w:r>
    </w:p>
    <w:p w14:paraId="13C5402B">
      <w:pPr>
        <w:snapToGrid w:val="0"/>
        <w:spacing w:line="360" w:lineRule="auto"/>
        <w:ind w:right="-45" w:firstLine="480" w:firstLineChars="200"/>
        <w:rPr>
          <w:rFonts w:hint="eastAsia" w:ascii="宋体" w:hAnsi="宋体" w:eastAsia="宋体" w:cs="宋体"/>
          <w:sz w:val="24"/>
          <w:szCs w:val="24"/>
        </w:rPr>
      </w:pPr>
      <w:r>
        <w:rPr>
          <w:rFonts w:hint="eastAsia" w:ascii="宋体" w:hAnsi="宋体" w:eastAsia="宋体" w:cs="宋体"/>
          <w:sz w:val="24"/>
        </w:rPr>
        <w:t>⑵</w:t>
      </w:r>
      <w:r>
        <w:rPr>
          <w:rFonts w:hint="eastAsia" w:ascii="宋体" w:hAnsi="宋体" w:eastAsia="宋体" w:cs="宋体"/>
          <w:sz w:val="24"/>
          <w:szCs w:val="24"/>
          <w:lang w:eastAsia="zh-CN"/>
        </w:rPr>
        <w:t>招标文件</w:t>
      </w:r>
      <w:r>
        <w:rPr>
          <w:rFonts w:hint="eastAsia" w:ascii="宋体" w:hAnsi="宋体" w:eastAsia="宋体" w:cs="宋体"/>
          <w:sz w:val="24"/>
          <w:szCs w:val="24"/>
        </w:rPr>
        <w:t>、</w:t>
      </w:r>
      <w:r>
        <w:rPr>
          <w:rFonts w:hint="eastAsia" w:ascii="宋体" w:hAnsi="宋体" w:eastAsia="宋体" w:cs="宋体"/>
          <w:sz w:val="24"/>
          <w:szCs w:val="24"/>
          <w:lang w:eastAsia="zh-CN"/>
        </w:rPr>
        <w:t>投标文件</w:t>
      </w:r>
      <w:r>
        <w:rPr>
          <w:rFonts w:hint="eastAsia" w:ascii="宋体" w:hAnsi="宋体" w:eastAsia="宋体" w:cs="宋体"/>
          <w:sz w:val="24"/>
          <w:szCs w:val="24"/>
        </w:rPr>
        <w:t>、澄清表（函）；</w:t>
      </w:r>
    </w:p>
    <w:p w14:paraId="47708364">
      <w:pPr>
        <w:snapToGrid w:val="0"/>
        <w:spacing w:line="360" w:lineRule="auto"/>
        <w:ind w:right="-45" w:firstLine="480" w:firstLineChars="200"/>
        <w:rPr>
          <w:rFonts w:hint="eastAsia" w:ascii="宋体" w:hAnsi="宋体" w:eastAsia="宋体" w:cs="宋体"/>
          <w:sz w:val="24"/>
          <w:szCs w:val="24"/>
        </w:rPr>
      </w:pPr>
      <w:r>
        <w:rPr>
          <w:rFonts w:hint="eastAsia" w:ascii="宋体" w:hAnsi="宋体" w:eastAsia="宋体" w:cs="宋体"/>
          <w:sz w:val="24"/>
        </w:rPr>
        <w:t>⑶</w:t>
      </w:r>
      <w:r>
        <w:rPr>
          <w:rFonts w:hint="eastAsia" w:ascii="宋体" w:hAnsi="宋体" w:eastAsia="宋体" w:cs="宋体"/>
          <w:sz w:val="24"/>
          <w:szCs w:val="24"/>
        </w:rPr>
        <w:t>国家相应的标准、规范。</w:t>
      </w:r>
    </w:p>
    <w:p w14:paraId="5BDC0D29">
      <w:pPr>
        <w:autoSpaceDE w:val="0"/>
        <w:autoSpaceDN w:val="0"/>
        <w:spacing w:line="360" w:lineRule="auto"/>
        <w:ind w:left="540" w:leftChars="171" w:hanging="181" w:hangingChars="75"/>
        <w:textAlignment w:val="bottom"/>
        <w:rPr>
          <w:rFonts w:hint="eastAsia" w:ascii="宋体" w:hAnsi="宋体" w:eastAsia="宋体" w:cs="宋体"/>
          <w:b/>
          <w:bCs/>
          <w:sz w:val="24"/>
          <w:szCs w:val="24"/>
        </w:rPr>
      </w:pPr>
      <w:r>
        <w:rPr>
          <w:rFonts w:hint="eastAsia" w:ascii="宋体" w:hAnsi="宋体" w:eastAsia="宋体" w:cs="宋体"/>
          <w:b/>
          <w:bCs/>
          <w:sz w:val="24"/>
          <w:szCs w:val="24"/>
        </w:rPr>
        <w:t>4．项目组成员要求</w:t>
      </w:r>
    </w:p>
    <w:p w14:paraId="38A9962B">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4.1 在项目实施过程中，中标供应商项目组成员（特别是项目经理）未经采购人许可不得随意变动。中标供应商项目经理离开24小时，需向采购人提出书面申请，经采购人书面同意方可变动。</w:t>
      </w:r>
    </w:p>
    <w:p w14:paraId="56AF51AA">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4.2 中标供应商项目组成员如需变动，需向采购人提出书面申请，经采购人书面同意方可变动。</w:t>
      </w:r>
    </w:p>
    <w:p w14:paraId="7735B7B7">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4.3 在项目实施过程中，如采购人发现某项目组成员不能满足工作要求，采购人有权要求中标供应商进行人员调整。</w:t>
      </w:r>
    </w:p>
    <w:p w14:paraId="02969FD3">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4.4 在项目实施过程中发生的人身及财产损失由中标供应商负责，采购人不承担任何责任。</w:t>
      </w:r>
    </w:p>
    <w:p w14:paraId="6B1061BC">
      <w:pPr>
        <w:autoSpaceDE w:val="0"/>
        <w:autoSpaceDN w:val="0"/>
        <w:spacing w:line="360" w:lineRule="auto"/>
        <w:ind w:left="539" w:leftChars="228" w:hanging="60" w:hangingChars="25"/>
        <w:textAlignment w:val="bottom"/>
        <w:rPr>
          <w:rFonts w:hint="eastAsia" w:ascii="宋体" w:hAnsi="宋体" w:eastAsia="宋体" w:cs="宋体"/>
          <w:b/>
          <w:bCs/>
          <w:sz w:val="24"/>
          <w:szCs w:val="24"/>
        </w:rPr>
      </w:pPr>
      <w:r>
        <w:rPr>
          <w:rFonts w:hint="eastAsia" w:ascii="宋体" w:hAnsi="宋体" w:eastAsia="宋体" w:cs="宋体"/>
          <w:b/>
          <w:bCs/>
          <w:sz w:val="24"/>
          <w:szCs w:val="24"/>
        </w:rPr>
        <w:t>5.合同解除</w:t>
      </w:r>
    </w:p>
    <w:p w14:paraId="1505ADA3">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5.1 如果中标供应商有下述任何一种违约行为或《合同条款》中规定的其它违约行为，在不妨碍采购人采取其它救济手段的情况下，采购人可以向中标供应商发出书面违约通知，全部或部分地解除合同。</w:t>
      </w:r>
    </w:p>
    <w:p w14:paraId="6104AF1C">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A. 中标供应商未能按合同规定的期限交付系统和/或提供相关的服务及技术资料；</w:t>
      </w:r>
    </w:p>
    <w:p w14:paraId="56190598">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B. 中标供应商未能使规划方案达到相应合同附件规定的技术性能和保证指标；</w:t>
      </w:r>
    </w:p>
    <w:p w14:paraId="5BB4AEEB">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C. 中标供应商未能履行合同项下任何其它义务，并且在收到采购人违约通知后未能按通知所规定的期限对其违约行为作出补救；</w:t>
      </w:r>
    </w:p>
    <w:p w14:paraId="6084B089">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D.中标供应商在项目实施过程中未经采购人书面同意将项目的全部或部分转让、转包或分包给第三方公司或个人。</w:t>
      </w:r>
    </w:p>
    <w:p w14:paraId="04F5D740">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5.2 如果一方破产或发生资不抵债的情况,合同另一方有权在任何时候发出书面通知解除合同。此种情况下合同的解除不妨碍或影响行使任何可能的其它救济手段。</w:t>
      </w:r>
    </w:p>
    <w:p w14:paraId="604CCCD2">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5.3 如果采购人认定中标供应商在竞标或执行合同中有腐败或欺诈行为,采购人有权在任何时候发出书面通知解除合同。 </w:t>
      </w:r>
    </w:p>
    <w:p w14:paraId="1D452245">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A.“腐败行为”系指在招标、采购和合同执行等过程中，为谋求利益、影响相关人员而提供、给予、接受或索取任何有价物的行为。</w:t>
      </w:r>
    </w:p>
    <w:p w14:paraId="52D2FE28">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B.“欺诈行为”系指为了影响招标、采购和合同执行等过程而隐瞒事实，从而给采购人造成损害的行为，其中包括供应商之间的串通行为，其旨在使投标价成为人为的、无竞争的价格，并使采购人无法从自由公开的竞争中受益。</w:t>
      </w:r>
    </w:p>
    <w:p w14:paraId="01C26A86">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5.4 如果采购人行使解除合同的权利，采购人有权停付合同款，并有权将在执行合同中预付给中标供应商的款项索回，并有权要求中标供应商赔偿由此产生的直接经济损失。</w:t>
      </w:r>
    </w:p>
    <w:p w14:paraId="24C53AB8">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5.5 若5.2和5.3考虑的情况确实发生，采购人有权从中标供应商手中将与“项目”有关的工作接管并收归己有，中标供应商应给采购人提供全权处理并提供一切合理的方便，采购人对这种终止合同直接或间接引起的对中标供应商的任何索赔不承担责任。</w:t>
      </w:r>
    </w:p>
    <w:p w14:paraId="1E5B230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6.违约责任</w:t>
      </w:r>
    </w:p>
    <w:p w14:paraId="019D21D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6.1中标供应商逾期不实施项目工作计划，或其工作达不到合同要求的，采购人有权单方解除合同，中标供应商应返还已付款项。</w:t>
      </w:r>
    </w:p>
    <w:p w14:paraId="0D800D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6.2中标供应商在</w:t>
      </w:r>
      <w:r>
        <w:rPr>
          <w:rFonts w:hint="eastAsia" w:ascii="宋体" w:hAnsi="宋体" w:eastAsia="宋体" w:cs="宋体"/>
          <w:sz w:val="24"/>
          <w:szCs w:val="24"/>
          <w:lang w:eastAsia="zh-CN"/>
        </w:rPr>
        <w:t>投标文件</w:t>
      </w:r>
      <w:r>
        <w:rPr>
          <w:rFonts w:hint="eastAsia" w:ascii="宋体" w:hAnsi="宋体" w:eastAsia="宋体" w:cs="宋体"/>
          <w:sz w:val="24"/>
          <w:szCs w:val="24"/>
        </w:rPr>
        <w:t>中配置的人员需在实施过程中，依次到位，中标供应商如果提出人员变更，采购人有权利拒绝，中标供应商未按照</w:t>
      </w:r>
      <w:r>
        <w:rPr>
          <w:rFonts w:hint="eastAsia" w:ascii="宋体" w:hAnsi="宋体" w:eastAsia="宋体" w:cs="宋体"/>
          <w:sz w:val="24"/>
          <w:szCs w:val="24"/>
          <w:lang w:eastAsia="zh-CN"/>
        </w:rPr>
        <w:t>投标文件</w:t>
      </w:r>
      <w:r>
        <w:rPr>
          <w:rFonts w:hint="eastAsia" w:ascii="宋体" w:hAnsi="宋体" w:eastAsia="宋体" w:cs="宋体"/>
          <w:sz w:val="24"/>
          <w:szCs w:val="24"/>
        </w:rPr>
        <w:t>配置设施人员的，应向采购人支付合同总价10%的违约金，同时，采购人有权单方解除本合同。</w:t>
      </w:r>
    </w:p>
    <w:p w14:paraId="0C6E855B">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6.3 如果中标供应商没有按照合同约定时间完成项目要求的，采购人应在不影响合同项下的其他补救措施的情况下，从合同价中扣除逾期违约金。每延误一天的违约金按合同总价的百分之零点五（0.5%）计收，直至中标供应商完成合同约定义务为止。误期的最长期限为90天。一旦达到误期的最长期限，采购人有权单方解除本合同，采购人单方解除本合同的，中标供应商应向采购人支付合同总价10%的违约金，返还采购人已支付的全部款项，给采购人造成经济损失的，还应赔偿采购人全部经济损失（包括直接和间接经济损失）。</w:t>
      </w:r>
    </w:p>
    <w:p w14:paraId="62931497">
      <w:pPr>
        <w:autoSpaceDE w:val="0"/>
        <w:autoSpaceDN w:val="0"/>
        <w:spacing w:line="360" w:lineRule="auto"/>
        <w:ind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6.4 中标供应商完成并向采购人提交的项目成果未能达到项目验收标准的，中标供应商应在一个月内自费整改完毕。如果整改后仍达不到要求，不能通过验收的，采购人有权单方解除本合同，中标供应商向采购人支付合同总价30%的违约金，并退还采购人已经支付的所有款项，采购人造成经济损失的，还应赔偿采购人全部经济损失（包括直接和间接经济损失）。</w:t>
      </w:r>
    </w:p>
    <w:p w14:paraId="01119D42">
      <w:pPr>
        <w:autoSpaceDE w:val="0"/>
        <w:autoSpaceDN w:val="0"/>
        <w:spacing w:line="360" w:lineRule="auto"/>
        <w:ind w:left="2" w:leftChars="1"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6.5 在项目实施过程中，中标供应商未经采购人书面同意将项目的全部或部分转让、转包或分包给第三方公司或个人，采购人有权解除合同，中标供应商应向采购人支付合同总价30%的违约金。</w:t>
      </w:r>
    </w:p>
    <w:p w14:paraId="63B59D80">
      <w:pPr>
        <w:autoSpaceDE w:val="0"/>
        <w:autoSpaceDN w:val="0"/>
        <w:spacing w:line="360" w:lineRule="auto"/>
        <w:ind w:left="2" w:leftChars="1" w:firstLine="480" w:firstLineChars="200"/>
        <w:textAlignment w:val="bottom"/>
        <w:rPr>
          <w:rFonts w:hint="eastAsia" w:ascii="宋体" w:hAnsi="宋体" w:eastAsia="宋体" w:cs="宋体"/>
          <w:sz w:val="24"/>
          <w:szCs w:val="24"/>
        </w:rPr>
      </w:pPr>
      <w:r>
        <w:rPr>
          <w:rFonts w:hint="eastAsia" w:ascii="宋体" w:hAnsi="宋体" w:eastAsia="宋体" w:cs="宋体"/>
          <w:sz w:val="24"/>
          <w:szCs w:val="24"/>
        </w:rPr>
        <w:t>6.6 中标供应商或其工作人员违反本合同约定的保密义务的，中标供应商应向采购人支付合同总价10%的违约金，给采购人造成经济损失的，还应赔偿采购人全部经济损失（包括直接和间接经济损失）。</w:t>
      </w:r>
    </w:p>
    <w:p w14:paraId="5A319F9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6.7其他违约行为，按照国家有关法规和条例承担法律责任。</w:t>
      </w:r>
    </w:p>
    <w:p w14:paraId="17E8ED94">
      <w:pPr>
        <w:tabs>
          <w:tab w:val="left" w:pos="798"/>
          <w:tab w:val="left" w:pos="1760"/>
          <w:tab w:val="left" w:pos="8522"/>
        </w:tabs>
        <w:spacing w:line="360" w:lineRule="auto"/>
        <w:ind w:right="-45"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7. 税费</w:t>
      </w:r>
    </w:p>
    <w:p w14:paraId="349020E4">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7.1 本合同规定的合同价格已包括一切税费和伴随服务费等。</w:t>
      </w:r>
    </w:p>
    <w:p w14:paraId="4A7F85AC">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7.2 政府相关部门根据中国税法对采购人和中标供应商双方征收的与执行合同有关的一切税费，双方均应按照政府相关部门的规定各自负担。</w:t>
      </w:r>
    </w:p>
    <w:p w14:paraId="310AB208">
      <w:pPr>
        <w:tabs>
          <w:tab w:val="left" w:pos="798"/>
          <w:tab w:val="left" w:pos="1760"/>
          <w:tab w:val="left" w:pos="8522"/>
        </w:tabs>
        <w:spacing w:line="360" w:lineRule="auto"/>
        <w:ind w:right="-45"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8.不可抗力</w:t>
      </w:r>
    </w:p>
    <w:p w14:paraId="31BC8FF9">
      <w:pPr>
        <w:tabs>
          <w:tab w:val="left" w:pos="798"/>
          <w:tab w:val="left" w:pos="1760"/>
          <w:tab w:val="left" w:pos="8522"/>
        </w:tabs>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8.1本合同履行期间，任何一方发生了不可抗力事件，以致不能履行或不能如期履行本合同，各方协商一致后，发生不可抗力事件的一方可以免除履行本合同的责任或推迟履行本合同。</w:t>
      </w:r>
    </w:p>
    <w:p w14:paraId="2C88E38A">
      <w:pPr>
        <w:tabs>
          <w:tab w:val="left" w:pos="798"/>
          <w:tab w:val="left" w:pos="1760"/>
          <w:tab w:val="left" w:pos="8522"/>
        </w:tabs>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8.2本合同约定的不可抗力事件包括以下范围：</w:t>
      </w:r>
    </w:p>
    <w:p w14:paraId="4CD97316">
      <w:pPr>
        <w:tabs>
          <w:tab w:val="left" w:pos="798"/>
          <w:tab w:val="left" w:pos="1760"/>
          <w:tab w:val="left" w:pos="8522"/>
        </w:tabs>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⑴自然原因引起的事件，如地震、洪水、飓风、寒流、火山爆发、大雪、水灾、冰灾、暴风雨等；</w:t>
      </w:r>
    </w:p>
    <w:p w14:paraId="5B3AA851">
      <w:pPr>
        <w:tabs>
          <w:tab w:val="left" w:pos="798"/>
          <w:tab w:val="left" w:pos="1760"/>
          <w:tab w:val="left" w:pos="8522"/>
        </w:tabs>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⑵社会原因引起的事件，如战争、罢工、政府禁令、封锁、疫情等；</w:t>
      </w:r>
    </w:p>
    <w:p w14:paraId="0F313CF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8.3发生不可抗力的一方，应于不可抗力发生后5天内以书面形式通知对方，通报不可抗力的详尽情况，提交不可抗力影响履行程度的官方证明文件。未尽告知义务的，不免除违约责任。</w:t>
      </w:r>
    </w:p>
    <w:p w14:paraId="0E4E264C">
      <w:pPr>
        <w:tabs>
          <w:tab w:val="left" w:pos="798"/>
          <w:tab w:val="left" w:pos="1760"/>
          <w:tab w:val="left" w:pos="8522"/>
        </w:tabs>
        <w:spacing w:line="360" w:lineRule="auto"/>
        <w:ind w:right="-45"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9. 适用法律</w:t>
      </w:r>
    </w:p>
    <w:p w14:paraId="3626FED8">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本合同的执行和争议的解决应适用中华人民共和国的法律，并按中华人民共和国的法律进行解释。</w:t>
      </w:r>
    </w:p>
    <w:p w14:paraId="115EAFBF">
      <w:pPr>
        <w:tabs>
          <w:tab w:val="left" w:pos="798"/>
          <w:tab w:val="left" w:pos="1760"/>
          <w:tab w:val="left" w:pos="8522"/>
        </w:tabs>
        <w:spacing w:line="360" w:lineRule="auto"/>
        <w:ind w:right="-45"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10.通知</w:t>
      </w:r>
    </w:p>
    <w:p w14:paraId="600FACE0">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10.1 本合同一方给对方的通知应以书面形式送到合同专用条款中载明的对方的地址。传真要经书面确认。</w:t>
      </w:r>
    </w:p>
    <w:p w14:paraId="3BE879AB">
      <w:pPr>
        <w:tabs>
          <w:tab w:val="left" w:pos="798"/>
          <w:tab w:val="left" w:pos="1760"/>
          <w:tab w:val="left" w:pos="8522"/>
        </w:tabs>
        <w:spacing w:line="360" w:lineRule="auto"/>
        <w:ind w:right="-45" w:firstLine="480" w:firstLineChars="200"/>
        <w:jc w:val="left"/>
        <w:rPr>
          <w:rFonts w:hint="eastAsia" w:ascii="宋体" w:hAnsi="宋体" w:eastAsia="宋体" w:cs="宋体"/>
          <w:sz w:val="24"/>
          <w:szCs w:val="24"/>
        </w:rPr>
      </w:pPr>
      <w:r>
        <w:rPr>
          <w:rFonts w:hint="eastAsia" w:ascii="宋体" w:hAnsi="宋体" w:eastAsia="宋体" w:cs="宋体"/>
          <w:sz w:val="24"/>
          <w:szCs w:val="24"/>
        </w:rPr>
        <w:t>10.2 通知以对方签收日期或通知书的生效日期为生效日期，两者中以晚的一个日期为准。</w:t>
      </w:r>
    </w:p>
    <w:p w14:paraId="4BF90613">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11.争议解决方式</w:t>
      </w:r>
    </w:p>
    <w:p w14:paraId="1EBD23C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因履行本合同发生的争议，由采购人和中标供应商协商解决，协商不成的，任何一方均可向采购人住所地人民法院提起诉讼，通过诉讼途径解决。</w:t>
      </w:r>
    </w:p>
    <w:p w14:paraId="28B402E7">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12.合同生效</w:t>
      </w:r>
    </w:p>
    <w:p w14:paraId="0E917F1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本合同应在采购人和中标供应商双方签字并加盖公章后生效。</w:t>
      </w:r>
    </w:p>
    <w:p w14:paraId="48AEC0DF">
      <w:pPr>
        <w:pStyle w:val="5"/>
        <w:rPr>
          <w:rFonts w:hint="eastAsia" w:ascii="宋体" w:hAnsi="宋体" w:eastAsia="宋体" w:cs="宋体"/>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8"/>
        <w:gridCol w:w="4829"/>
      </w:tblGrid>
      <w:tr w14:paraId="032C4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305827DC">
            <w:pPr>
              <w:spacing w:line="360" w:lineRule="auto"/>
              <w:rPr>
                <w:rFonts w:hint="default" w:ascii="宋体" w:hAnsi="宋体" w:eastAsia="宋体" w:cs="宋体"/>
                <w:sz w:val="24"/>
                <w:lang w:val="en-US" w:eastAsia="zh-CN"/>
              </w:rPr>
            </w:pPr>
            <w:r>
              <w:rPr>
                <w:rFonts w:hint="eastAsia" w:ascii="宋体" w:hAnsi="宋体" w:eastAsia="宋体" w:cs="宋体"/>
                <w:sz w:val="24"/>
              </w:rPr>
              <w:t>甲  方</w:t>
            </w:r>
            <w:r>
              <w:rPr>
                <w:rFonts w:hint="eastAsia" w:ascii="宋体" w:hAnsi="宋体" w:eastAsia="宋体" w:cs="宋体"/>
                <w:sz w:val="24"/>
                <w:lang w:eastAsia="zh-CN"/>
              </w:rPr>
              <w:t>：</w:t>
            </w:r>
            <w:r>
              <w:rPr>
                <w:rFonts w:hint="eastAsia" w:ascii="宋体" w:hAnsi="宋体" w:eastAsia="宋体" w:cs="宋体"/>
                <w:sz w:val="24"/>
                <w:lang w:val="en-US" w:eastAsia="zh-CN"/>
              </w:rPr>
              <w:t>陕西省人民医院</w:t>
            </w:r>
            <w:bookmarkStart w:id="4" w:name="_GoBack"/>
            <w:bookmarkEnd w:id="4"/>
          </w:p>
        </w:tc>
        <w:tc>
          <w:tcPr>
            <w:tcW w:w="4829" w:type="dxa"/>
            <w:tcBorders>
              <w:top w:val="nil"/>
              <w:left w:val="nil"/>
              <w:bottom w:val="nil"/>
              <w:right w:val="nil"/>
            </w:tcBorders>
            <w:noWrap w:val="0"/>
            <w:vAlign w:val="center"/>
          </w:tcPr>
          <w:p w14:paraId="56F74710">
            <w:pPr>
              <w:spacing w:line="360" w:lineRule="auto"/>
              <w:rPr>
                <w:rFonts w:hint="eastAsia" w:ascii="宋体" w:hAnsi="宋体" w:eastAsia="宋体" w:cs="宋体"/>
                <w:sz w:val="24"/>
              </w:rPr>
            </w:pPr>
            <w:r>
              <w:rPr>
                <w:rFonts w:hint="eastAsia" w:ascii="宋体" w:hAnsi="宋体" w:eastAsia="宋体" w:cs="宋体"/>
                <w:sz w:val="24"/>
              </w:rPr>
              <w:t>乙  方</w:t>
            </w:r>
          </w:p>
        </w:tc>
      </w:tr>
      <w:tr w14:paraId="077BC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30F11FED">
            <w:pPr>
              <w:spacing w:line="360" w:lineRule="auto"/>
              <w:rPr>
                <w:rFonts w:hint="eastAsia" w:ascii="宋体" w:hAnsi="宋体" w:eastAsia="宋体" w:cs="宋体"/>
                <w:b/>
                <w:sz w:val="24"/>
              </w:rPr>
            </w:pPr>
            <w:r>
              <w:rPr>
                <w:rFonts w:hint="eastAsia" w:ascii="宋体" w:hAnsi="宋体" w:eastAsia="宋体" w:cs="宋体"/>
                <w:sz w:val="24"/>
              </w:rPr>
              <w:t>单位名称：</w:t>
            </w:r>
          </w:p>
        </w:tc>
        <w:tc>
          <w:tcPr>
            <w:tcW w:w="4829" w:type="dxa"/>
            <w:tcBorders>
              <w:top w:val="nil"/>
              <w:left w:val="nil"/>
              <w:bottom w:val="nil"/>
              <w:right w:val="nil"/>
            </w:tcBorders>
            <w:noWrap w:val="0"/>
            <w:vAlign w:val="center"/>
          </w:tcPr>
          <w:p w14:paraId="62537E40">
            <w:pPr>
              <w:spacing w:line="360" w:lineRule="auto"/>
              <w:rPr>
                <w:rFonts w:hint="eastAsia" w:ascii="宋体" w:hAnsi="宋体" w:eastAsia="宋体" w:cs="宋体"/>
                <w:b/>
                <w:sz w:val="24"/>
              </w:rPr>
            </w:pPr>
            <w:r>
              <w:rPr>
                <w:rFonts w:hint="eastAsia" w:ascii="宋体" w:hAnsi="宋体" w:eastAsia="宋体" w:cs="宋体"/>
                <w:sz w:val="24"/>
              </w:rPr>
              <w:t>单位名称：</w:t>
            </w:r>
            <w:r>
              <w:rPr>
                <w:rFonts w:hint="eastAsia" w:ascii="宋体" w:hAnsi="宋体" w:eastAsia="宋体" w:cs="宋体"/>
                <w:bCs/>
                <w:sz w:val="24"/>
              </w:rPr>
              <w:t>××</w:t>
            </w:r>
            <w:r>
              <w:rPr>
                <w:rFonts w:hint="eastAsia" w:ascii="宋体" w:hAnsi="宋体" w:eastAsia="宋体" w:cs="宋体"/>
                <w:sz w:val="24"/>
              </w:rPr>
              <w:t>公司</w:t>
            </w:r>
          </w:p>
        </w:tc>
      </w:tr>
      <w:tr w14:paraId="24A62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4BDB2AFC">
            <w:pPr>
              <w:spacing w:line="360" w:lineRule="auto"/>
              <w:rPr>
                <w:rFonts w:hint="eastAsia" w:ascii="宋体" w:hAnsi="宋体" w:eastAsia="宋体" w:cs="宋体"/>
                <w:sz w:val="24"/>
              </w:rPr>
            </w:pPr>
            <w:r>
              <w:rPr>
                <w:rFonts w:hint="eastAsia" w:ascii="宋体" w:hAnsi="宋体" w:eastAsia="宋体" w:cs="宋体"/>
                <w:sz w:val="24"/>
              </w:rPr>
              <w:t>地    址：</w:t>
            </w:r>
          </w:p>
        </w:tc>
        <w:tc>
          <w:tcPr>
            <w:tcW w:w="4829" w:type="dxa"/>
            <w:tcBorders>
              <w:top w:val="nil"/>
              <w:left w:val="nil"/>
              <w:bottom w:val="nil"/>
              <w:right w:val="nil"/>
            </w:tcBorders>
            <w:noWrap w:val="0"/>
            <w:vAlign w:val="center"/>
          </w:tcPr>
          <w:p w14:paraId="51F786C2">
            <w:pPr>
              <w:spacing w:line="360" w:lineRule="auto"/>
              <w:rPr>
                <w:rFonts w:hint="eastAsia" w:ascii="宋体" w:hAnsi="宋体" w:eastAsia="宋体" w:cs="宋体"/>
                <w:sz w:val="24"/>
              </w:rPr>
            </w:pPr>
            <w:r>
              <w:rPr>
                <w:rFonts w:hint="eastAsia" w:ascii="宋体" w:hAnsi="宋体" w:eastAsia="宋体" w:cs="宋体"/>
                <w:sz w:val="24"/>
              </w:rPr>
              <w:t xml:space="preserve">地    址： </w:t>
            </w:r>
          </w:p>
        </w:tc>
      </w:tr>
      <w:tr w14:paraId="3AF01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253342DF">
            <w:pPr>
              <w:spacing w:line="360" w:lineRule="auto"/>
              <w:rPr>
                <w:rFonts w:hint="eastAsia" w:ascii="宋体" w:hAnsi="宋体" w:eastAsia="宋体" w:cs="宋体"/>
                <w:sz w:val="24"/>
              </w:rPr>
            </w:pPr>
            <w:r>
              <w:rPr>
                <w:rFonts w:hint="eastAsia" w:ascii="宋体" w:hAnsi="宋体" w:eastAsia="宋体" w:cs="宋体"/>
                <w:sz w:val="24"/>
              </w:rPr>
              <w:t>代表人：</w:t>
            </w:r>
          </w:p>
        </w:tc>
        <w:tc>
          <w:tcPr>
            <w:tcW w:w="4829" w:type="dxa"/>
            <w:tcBorders>
              <w:top w:val="nil"/>
              <w:left w:val="nil"/>
              <w:bottom w:val="nil"/>
              <w:right w:val="nil"/>
            </w:tcBorders>
            <w:noWrap w:val="0"/>
            <w:vAlign w:val="center"/>
          </w:tcPr>
          <w:p w14:paraId="3792A59D">
            <w:pPr>
              <w:spacing w:line="360" w:lineRule="auto"/>
              <w:rPr>
                <w:rFonts w:hint="eastAsia" w:ascii="宋体" w:hAnsi="宋体" w:eastAsia="宋体" w:cs="宋体"/>
                <w:sz w:val="24"/>
              </w:rPr>
            </w:pPr>
            <w:r>
              <w:rPr>
                <w:rFonts w:hint="eastAsia" w:ascii="宋体" w:hAnsi="宋体" w:eastAsia="宋体" w:cs="宋体"/>
                <w:sz w:val="24"/>
              </w:rPr>
              <w:t xml:space="preserve">代表人： </w:t>
            </w:r>
          </w:p>
        </w:tc>
      </w:tr>
      <w:tr w14:paraId="02B51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1B3017E5">
            <w:pPr>
              <w:spacing w:line="360" w:lineRule="auto"/>
              <w:rPr>
                <w:rFonts w:hint="eastAsia" w:ascii="宋体" w:hAnsi="宋体" w:eastAsia="宋体" w:cs="宋体"/>
                <w:sz w:val="24"/>
              </w:rPr>
            </w:pPr>
            <w:r>
              <w:rPr>
                <w:rFonts w:hint="eastAsia" w:ascii="宋体" w:hAnsi="宋体" w:eastAsia="宋体" w:cs="宋体"/>
                <w:sz w:val="24"/>
              </w:rPr>
              <w:t>联系电话：</w:t>
            </w:r>
          </w:p>
        </w:tc>
        <w:tc>
          <w:tcPr>
            <w:tcW w:w="4829" w:type="dxa"/>
            <w:tcBorders>
              <w:top w:val="nil"/>
              <w:left w:val="nil"/>
              <w:bottom w:val="nil"/>
              <w:right w:val="nil"/>
            </w:tcBorders>
            <w:noWrap w:val="0"/>
            <w:vAlign w:val="center"/>
          </w:tcPr>
          <w:p w14:paraId="70966676">
            <w:pPr>
              <w:spacing w:line="360" w:lineRule="auto"/>
              <w:rPr>
                <w:rFonts w:hint="eastAsia" w:ascii="宋体" w:hAnsi="宋体" w:eastAsia="宋体" w:cs="宋体"/>
                <w:sz w:val="24"/>
              </w:rPr>
            </w:pPr>
            <w:r>
              <w:rPr>
                <w:rFonts w:hint="eastAsia" w:ascii="宋体" w:hAnsi="宋体" w:eastAsia="宋体" w:cs="宋体"/>
                <w:sz w:val="24"/>
              </w:rPr>
              <w:t>联系电话：</w:t>
            </w:r>
          </w:p>
        </w:tc>
      </w:tr>
      <w:tr w14:paraId="0EC6A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noWrap w:val="0"/>
            <w:vAlign w:val="top"/>
          </w:tcPr>
          <w:p w14:paraId="41BF725A">
            <w:pPr>
              <w:spacing w:line="360" w:lineRule="auto"/>
              <w:rPr>
                <w:rFonts w:hint="eastAsia" w:ascii="宋体" w:hAnsi="宋体" w:eastAsia="宋体" w:cs="宋体"/>
                <w:sz w:val="24"/>
              </w:rPr>
            </w:pPr>
            <w:r>
              <w:rPr>
                <w:rFonts w:hint="eastAsia" w:ascii="宋体" w:hAnsi="宋体" w:eastAsia="宋体" w:cs="宋体"/>
                <w:sz w:val="24"/>
              </w:rPr>
              <w:t>202</w:t>
            </w:r>
            <w:r>
              <w:rPr>
                <w:rFonts w:hint="eastAsia" w:ascii="宋体" w:hAnsi="宋体" w:eastAsia="宋体" w:cs="宋体"/>
                <w:sz w:val="24"/>
                <w:lang w:val="en-US" w:eastAsia="zh-CN"/>
              </w:rPr>
              <w:t>5</w:t>
            </w:r>
            <w:r>
              <w:rPr>
                <w:rFonts w:hint="eastAsia" w:ascii="宋体" w:hAnsi="宋体" w:eastAsia="宋体" w:cs="宋体"/>
                <w:sz w:val="24"/>
              </w:rPr>
              <w:t>年    月    日</w:t>
            </w:r>
          </w:p>
        </w:tc>
        <w:tc>
          <w:tcPr>
            <w:tcW w:w="4829" w:type="dxa"/>
            <w:tcBorders>
              <w:top w:val="nil"/>
              <w:left w:val="nil"/>
              <w:bottom w:val="nil"/>
              <w:right w:val="nil"/>
            </w:tcBorders>
            <w:noWrap w:val="0"/>
            <w:vAlign w:val="center"/>
          </w:tcPr>
          <w:p w14:paraId="21659B71">
            <w:pPr>
              <w:spacing w:line="360" w:lineRule="auto"/>
              <w:rPr>
                <w:rFonts w:hint="eastAsia" w:ascii="宋体" w:hAnsi="宋体" w:eastAsia="宋体" w:cs="宋体"/>
                <w:sz w:val="24"/>
              </w:rPr>
            </w:pPr>
            <w:r>
              <w:rPr>
                <w:rFonts w:hint="eastAsia" w:ascii="宋体" w:hAnsi="宋体" w:eastAsia="宋体" w:cs="宋体"/>
                <w:sz w:val="24"/>
              </w:rPr>
              <w:t>202</w:t>
            </w:r>
            <w:r>
              <w:rPr>
                <w:rFonts w:hint="eastAsia" w:ascii="宋体" w:hAnsi="宋体" w:eastAsia="宋体" w:cs="宋体"/>
                <w:sz w:val="24"/>
                <w:lang w:val="en-US" w:eastAsia="zh-CN"/>
              </w:rPr>
              <w:t>5</w:t>
            </w:r>
            <w:r>
              <w:rPr>
                <w:rFonts w:hint="eastAsia" w:ascii="宋体" w:hAnsi="宋体" w:eastAsia="宋体" w:cs="宋体"/>
                <w:sz w:val="24"/>
              </w:rPr>
              <w:t>年   月    日</w:t>
            </w:r>
          </w:p>
        </w:tc>
      </w:tr>
    </w:tbl>
    <w:p w14:paraId="780875DA">
      <w:pPr>
        <w:pStyle w:val="4"/>
        <w:rPr>
          <w:rFonts w:hint="eastAsia" w:ascii="宋体" w:hAnsi="宋体" w:eastAsia="宋体" w:cs="宋体"/>
          <w:lang w:val="en-US" w:eastAsia="zh-Hans"/>
        </w:rPr>
      </w:pPr>
    </w:p>
    <w:p w14:paraId="5769352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865E57"/>
    <w:rsid w:val="4F686A1F"/>
    <w:rsid w:val="795B1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 w:type="paragraph" w:customStyle="1" w:styleId="5">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2852</Words>
  <Characters>2961</Characters>
  <Lines>0</Lines>
  <Paragraphs>0</Paragraphs>
  <TotalTime>1</TotalTime>
  <ScaleCrop>false</ScaleCrop>
  <LinksUpToDate>false</LinksUpToDate>
  <CharactersWithSpaces>3242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2024-12-03T10:43:00Z</dcterms:created>
  <dc:creator>Administrator</dc:creator>
  <cp:lastModifiedBy>夏日微凉</cp:lastModifiedBy>
  <dcterms:modified xsi:type="dcterms:W3CDTF">2025-07-15T12:00:44Z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7DD55D465E9E4FE5AFC1ADFBA0F99FC5_12</vt:lpwstr>
  </property>
  <property fmtid="{D5CDD505-2E9C-101B-9397-08002B2CF9AE}" pid="4" name="KSOTemplateDocerSaveRecord">
    <vt:lpwstr>eyJoZGlkIjoiZTQ5ZWY0NzI1YzM2ZGRkNzQ5Zjg2YjFkZTNiNDRiZDgiLCJ1c2VySWQiOiIyNTE3NDAxMDAifQ==</vt:lpwstr>
  </property>
</Properties>
</file>