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版本号：KY2025-3-16220250714001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太白校区球类运动场地改造项目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KY2025-3-162</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太白校区球类运动场地改造项目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KY2025-3-162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太白校区球类运动场地改造项目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陕西开放大学太白校区球类运动场地改造项目，简要技术要求、用途：详见招标文件第3章。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采购包1（太白校区球类运动场地改造项目）：属于专门面向中小企业采购。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7、法定代表人授权书：法定代表人授权书及被授权人身份证复印件。（法定代表人直接投标只须提交其身份证明书）。</w:t>
      </w:r>
    </w:p>
    <w:p>
      <w:pPr>
        <w:pStyle w:val="null3"/>
      </w:pPr>
      <w:r>
        <w:rPr>
          <w:rFonts w:ascii="仿宋_GB2312" w:hAnsi="仿宋_GB2312" w:cs="仿宋_GB2312" w:eastAsia="仿宋_GB2312"/>
        </w:rPr>
        <w:t>8、中小企业声明函：本项目为专门面向中、小、微型企业采购项目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帅老师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029-81896974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029-81206622/81206633-841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采购包1：247,500.00元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采购包1保证金金额：4,800.00元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银行账号：86113010750181502000156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号）及发改办价格[2003]857号文件的规定标准按货物收取，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踏勘时间：2025-07-25 10:00:00</w:t>
            </w:r>
          </w:p>
          <w:p>
            <w:pPr>
              <w:pStyle w:val="null3"/>
              <w:ind w:firstLine="975"/>
            </w:pPr>
            <w:r>
              <w:rPr>
                <w:rFonts w:ascii="仿宋_GB2312" w:hAnsi="仿宋_GB2312" w:cs="仿宋_GB2312" w:eastAsia="仿宋_GB2312"/>
              </w:rPr>
              <w:t>踏勘地点：陕西开放大学太白校区，具体地址另行通知；【请参与本次踏勘的投标单位在踏勘前一个工作日将踏勘参与人的姓名、身份证号码、联系方式发送至2692780587@qq.com邮箱。】</w:t>
            </w:r>
          </w:p>
          <w:p>
            <w:pPr>
              <w:pStyle w:val="null3"/>
              <w:ind w:firstLine="975"/>
            </w:pPr>
            <w:r>
              <w:rPr>
                <w:rFonts w:ascii="仿宋_GB2312" w:hAnsi="仿宋_GB2312" w:cs="仿宋_GB2312" w:eastAsia="仿宋_GB2312"/>
              </w:rPr>
              <w:t>联系人：徐闫靖双</w:t>
            </w:r>
          </w:p>
          <w:p>
            <w:pPr>
              <w:pStyle w:val="null3"/>
              <w:ind w:firstLine="975"/>
            </w:pPr>
            <w:r>
              <w:rPr>
                <w:rFonts w:ascii="仿宋_GB2312" w:hAnsi="仿宋_GB2312" w:cs="仿宋_GB2312" w:eastAsia="仿宋_GB2312"/>
              </w:rPr>
              <w:t>联系电话号码：029-81206622-841。</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陕西开放大学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联系人：徐闫靖双、黄梦迪、戈迪</w:t>
      </w:r>
    </w:p>
    <w:p>
      <w:pPr>
        <w:pStyle w:val="null3"/>
      </w:pPr>
      <w:r>
        <w:rPr>
          <w:rFonts w:ascii="仿宋_GB2312" w:hAnsi="仿宋_GB2312" w:cs="仿宋_GB2312" w:eastAsia="仿宋_GB2312"/>
        </w:rPr>
        <w:t>联系电话：029-81206622/81206633-841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陕西开放大学太白校区球类运动场地改造项目，简要技术要求：具体要求详见招标文件第3章。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247,500.00</w:t>
      </w:r>
    </w:p>
    <w:p>
      <w:pPr>
        <w:pStyle w:val="null3"/>
      </w:pPr>
      <w:r>
        <w:rPr>
          <w:rFonts w:ascii="仿宋_GB2312" w:hAnsi="仿宋_GB2312" w:cs="仿宋_GB2312" w:eastAsia="仿宋_GB2312"/>
        </w:rPr>
        <w:t>采购包最高限价（元）: 247,500.00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软塑拼装运动地板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247,500.00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标的名称：软塑拼装运动地板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项目现状</w:t>
            </w:r>
          </w:p>
          <w:p>
            <w:pPr>
              <w:pStyle w:val="null3"/>
              <w:jc w:val="both"/>
            </w:pPr>
            <w:r>
              <w:rPr>
                <w:rFonts w:ascii="仿宋_GB2312" w:hAnsi="仿宋_GB2312" w:cs="仿宋_GB2312" w:eastAsia="仿宋_GB2312"/>
                <w:sz w:val="21"/>
              </w:rPr>
              <w:t>目前场</w:t>
            </w:r>
            <w:r>
              <w:rPr>
                <w:rFonts w:ascii="仿宋_GB2312" w:hAnsi="仿宋_GB2312" w:cs="仿宋_GB2312" w:eastAsia="仿宋_GB2312"/>
                <w:sz w:val="21"/>
                <w:color w:val="000000"/>
              </w:rPr>
              <w:t>地为硅</w:t>
            </w:r>
            <w:r>
              <w:rPr>
                <w:rFonts w:ascii="仿宋_GB2312" w:hAnsi="仿宋_GB2312" w:cs="仿宋_GB2312" w:eastAsia="仿宋_GB2312"/>
                <w:sz w:val="21"/>
                <w:color w:val="000000"/>
              </w:rPr>
              <w:t>PU地面，因年久失修，地面有多处斑块状、点状破损和开裂，总体修复面积≤</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产品要求</w:t>
            </w:r>
          </w:p>
          <w:p>
            <w:pPr>
              <w:pStyle w:val="null3"/>
              <w:jc w:val="both"/>
            </w:pPr>
            <w:r>
              <w:rPr>
                <w:rFonts w:ascii="仿宋_GB2312" w:hAnsi="仿宋_GB2312" w:cs="仿宋_GB2312" w:eastAsia="仿宋_GB2312"/>
                <w:sz w:val="21"/>
              </w:rPr>
              <w:t>软塑拼装运动地板整体采用热塑性弹性材料，不出油、不翘边，不变形。无毒、无味、不滋生细菌；面层</w:t>
            </w:r>
            <w:r>
              <w:rPr>
                <w:rFonts w:ascii="仿宋_GB2312" w:hAnsi="仿宋_GB2312" w:cs="仿宋_GB2312" w:eastAsia="仿宋_GB2312"/>
                <w:sz w:val="21"/>
              </w:rPr>
              <w:t>有</w:t>
            </w:r>
            <w:r>
              <w:rPr>
                <w:rFonts w:ascii="仿宋_GB2312" w:hAnsi="仿宋_GB2312" w:cs="仿宋_GB2312" w:eastAsia="仿宋_GB2312"/>
                <w:sz w:val="21"/>
              </w:rPr>
              <w:t>抗滑纹路</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弹性锁扣设计，防止热胀冷缩导致的地板位移、变形。</w:t>
            </w:r>
            <w:r>
              <w:rPr>
                <w:rFonts w:ascii="仿宋_GB2312" w:hAnsi="仿宋_GB2312" w:cs="仿宋_GB2312" w:eastAsia="仿宋_GB2312"/>
                <w:sz w:val="21"/>
              </w:rPr>
              <w:t>具备</w:t>
            </w:r>
            <w:r>
              <w:rPr>
                <w:rFonts w:ascii="仿宋_GB2312" w:hAnsi="仿宋_GB2312" w:cs="仿宋_GB2312" w:eastAsia="仿宋_GB2312"/>
                <w:sz w:val="21"/>
              </w:rPr>
              <w:t>井柱状弹性支撑系统，立体多重固化结构，支撑稳定、不易位移</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、产品参数</w:t>
            </w:r>
          </w:p>
          <w:p>
            <w:pPr>
              <w:pStyle w:val="null3"/>
              <w:jc w:val="both"/>
            </w:pPr>
            <w:r>
              <w:rPr>
                <w:rFonts w:ascii="仿宋_GB2312" w:hAnsi="仿宋_GB2312" w:cs="仿宋_GB2312" w:eastAsia="仿宋_GB2312"/>
                <w:sz w:val="21"/>
              </w:rPr>
              <w:t>1.物理性能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1）地板规格要求：50cm*50cm，厚度:≥1.6cm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2）冲击吸收：20%-50%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3）球反弹率：≥90%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4）垂直变形：≤3mm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5）撕裂强度：≥5kN/m</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2.化学性能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）甲醛：</w:t>
            </w:r>
            <w:r>
              <w:rPr>
                <w:rFonts w:ascii="仿宋_GB2312" w:hAnsi="仿宋_GB2312" w:cs="仿宋_GB2312" w:eastAsia="仿宋_GB2312"/>
                <w:sz w:val="21"/>
              </w:rPr>
              <w:t>≤0.4mg/(m².h)</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）甲苯、二甲苯和乙苯总和：</w:t>
            </w:r>
            <w:r>
              <w:rPr>
                <w:rFonts w:ascii="仿宋_GB2312" w:hAnsi="仿宋_GB2312" w:cs="仿宋_GB2312" w:eastAsia="仿宋_GB2312"/>
                <w:sz w:val="21"/>
              </w:rPr>
              <w:t>≤1.0mg/(m².h)</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）可溶性铅含量：</w:t>
            </w:r>
            <w:r>
              <w:rPr>
                <w:rFonts w:ascii="仿宋_GB2312" w:hAnsi="仿宋_GB2312" w:cs="仿宋_GB2312" w:eastAsia="仿宋_GB2312"/>
                <w:sz w:val="21"/>
              </w:rPr>
              <w:t>≤50mg/kg；可溶性镉含量：≤10mg/kg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）游离甲苯二异氰酸酯（</w:t>
            </w:r>
            <w:r>
              <w:rPr>
                <w:rFonts w:ascii="仿宋_GB2312" w:hAnsi="仿宋_GB2312" w:cs="仿宋_GB2312" w:eastAsia="仿宋_GB2312"/>
                <w:sz w:val="21"/>
              </w:rPr>
              <w:t>TDI）和游离六亚甲基二异氰酸酯（HDI）≤0.2g/kg</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★有害物质锑、砷、钡等不低于8种可迁移元素未检出，</w:t>
            </w:r>
            <w:r>
              <w:rPr>
                <w:rFonts w:ascii="仿宋_GB2312" w:hAnsi="仿宋_GB2312" w:cs="仿宋_GB2312" w:eastAsia="仿宋_GB2312"/>
                <w:sz w:val="21"/>
              </w:rPr>
              <w:t>需提供国家认可的检测机构报告（开标现场将通过</w:t>
            </w:r>
            <w:r>
              <w:rPr>
                <w:rFonts w:ascii="仿宋_GB2312" w:hAnsi="仿宋_GB2312" w:cs="仿宋_GB2312" w:eastAsia="仿宋_GB2312"/>
                <w:sz w:val="21"/>
                <w:color w:val="000000"/>
              </w:rPr>
              <w:t>全国认证认可信息公共服务平台查询</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3.老化性能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）室外全阳光光谱氙灯老化时长不低于</w:t>
            </w:r>
            <w:r>
              <w:rPr>
                <w:rFonts w:ascii="仿宋_GB2312" w:hAnsi="仿宋_GB2312" w:cs="仿宋_GB2312" w:eastAsia="仿宋_GB2312"/>
                <w:sz w:val="21"/>
              </w:rPr>
              <w:t>5000h后，检测周期不低于老化时长，尺寸变化率：纵向：≤0.1%，横向：≤0.2%</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★臭氧老化不低于10000h后，检测周期不低于老化时长，邵氏硬度依据GB/T531.1-2008检测标准≥70Shore A，</w:t>
            </w:r>
            <w:r>
              <w:rPr>
                <w:rFonts w:ascii="仿宋_GB2312" w:hAnsi="仿宋_GB2312" w:cs="仿宋_GB2312" w:eastAsia="仿宋_GB2312"/>
                <w:sz w:val="21"/>
              </w:rPr>
              <w:t>需提供国家认可的检测机构报告（开标现场将通过全国认证认可信息公共服务平台查询）。</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3）★自然光老化不低于36个月后，检测周期不低于老化时长，球反弹符合GB/T14833-2020标准≥90%，垂直变形符合GB36246-2018标准0.6-3.0mm，冲击吸收符合GB36246-2018标准（0℃，23℃，50℃）20-50%，</w:t>
            </w:r>
            <w:r>
              <w:rPr>
                <w:rFonts w:ascii="仿宋_GB2312" w:hAnsi="仿宋_GB2312" w:cs="仿宋_GB2312" w:eastAsia="仿宋_GB2312"/>
                <w:sz w:val="21"/>
              </w:rPr>
              <w:t>需提供国家认可的检测机构报告（开标现场将通过全国认证认可信息公共服务平台查询）。</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4）★为保证产品的耐盐腐蚀性（如雨水，汗水等），中性盐雾试验不低于6500h后，检测周期不低于老化时长，拉伸强度≥0.4MPa，断裂伸长率≥40%，</w:t>
            </w:r>
            <w:r>
              <w:rPr>
                <w:rFonts w:ascii="仿宋_GB2312" w:hAnsi="仿宋_GB2312" w:cs="仿宋_GB2312" w:eastAsia="仿宋_GB2312"/>
                <w:sz w:val="21"/>
              </w:rPr>
              <w:t>需提供国家认可的检测机构报告（开标现场将通过全国认证认可信息公共服务平台查询）。</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为了有效降低病毒的传播效率，提供安全可靠的运动环境，耐消毒水-中性洗涤剂循环试验不低于1000h后，检测周期不低于老化时长，外观：无起泡、无出油、无裂纹、无塌陷、无折皱、无污染、无粉化，无明显色差，灰卡等级4-5级，</w:t>
            </w:r>
            <w:r>
              <w:rPr>
                <w:rFonts w:ascii="仿宋_GB2312" w:hAnsi="仿宋_GB2312" w:cs="仿宋_GB2312" w:eastAsia="仿宋_GB2312"/>
                <w:sz w:val="21"/>
              </w:rPr>
              <w:t>需提供国家认可的检测机构报告（开标现场将通过全国认证认可信息公共服务平台查询）。</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rPr>
              <w:t>铺设总面积为</w:t>
            </w:r>
            <w:r>
              <w:rPr>
                <w:rFonts w:ascii="仿宋_GB2312" w:hAnsi="仿宋_GB2312" w:cs="仿宋_GB2312" w:eastAsia="仿宋_GB2312"/>
                <w:sz w:val="21"/>
              </w:rPr>
              <w:t>1700</w:t>
            </w:r>
            <w:r>
              <w:rPr>
                <w:rFonts w:ascii="仿宋_GB2312" w:hAnsi="仿宋_GB2312" w:cs="仿宋_GB2312" w:eastAsia="仿宋_GB2312"/>
                <w:sz w:val="21"/>
              </w:rPr>
              <w:t xml:space="preserve"> </w:t>
            </w:r>
            <w:r>
              <w:rPr>
                <w:rFonts w:ascii="仿宋_GB2312" w:hAnsi="仿宋_GB2312" w:cs="仿宋_GB2312" w:eastAsia="仿宋_GB2312"/>
                <w:sz w:val="21"/>
              </w:rPr>
              <w:t>平方米</w:t>
            </w:r>
            <w:r>
              <w:rPr>
                <w:rFonts w:ascii="仿宋_GB2312" w:hAnsi="仿宋_GB2312" w:cs="仿宋_GB2312" w:eastAsia="仿宋_GB2312"/>
                <w:sz w:val="21"/>
              </w:rPr>
              <w:t>；</w:t>
            </w:r>
            <w:r>
              <w:rPr>
                <w:rFonts w:ascii="仿宋_GB2312" w:hAnsi="仿宋_GB2312" w:cs="仿宋_GB2312" w:eastAsia="仿宋_GB2312"/>
                <w:sz w:val="21"/>
              </w:rPr>
              <w:t>报价</w:t>
            </w:r>
            <w:r>
              <w:rPr>
                <w:rFonts w:ascii="仿宋_GB2312" w:hAnsi="仿宋_GB2312" w:cs="仿宋_GB2312" w:eastAsia="仿宋_GB2312"/>
                <w:sz w:val="21"/>
              </w:rPr>
              <w:t>包含税率、材料、辅料、铺装、基层处理、运费</w:t>
            </w:r>
            <w:r>
              <w:rPr>
                <w:rFonts w:ascii="仿宋_GB2312" w:hAnsi="仿宋_GB2312" w:cs="仿宋_GB2312" w:eastAsia="仿宋_GB2312"/>
                <w:sz w:val="21"/>
              </w:rPr>
              <w:t>等一切费用</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陕西开放大学指定地点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项目完工并交付使用，验收合格后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自验收合格之日起6年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邮件签收时间应在递交电子投标文件截止时间之前，邮寄地址：西安市雁展路1111号莱安中心T6-15层，联系人：徐闫靖双，联系电话：029-81206622/81206633-841）。 3、若电子投标文件与纸质投标文件不一致的，以电子投标文件为准。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法定代表人授权书及被授权人身份证复印件。（法定代表人直接投标只须提交其身份证明书）。</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本项目为专门面向中、小、微型企业采购项目</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满足《中华人民共和国政府采购法》第二十二条规定</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①《政府采购促进中小企业发展管理办法》的通知--财库〔2020〕46号 ②财政部司法部关于政府采购支持监狱企业发展有关问题的通知--财库[2014]68号 ③《财政部 发展改革委 生态环境部 市场监管总局关于调整优化节能产品 环境标志产品政府采购执行机制的通知》（财库〔2019〕9号） ④《关于促进残疾人就业政府采购政策的通知》（财库[2017]141号） ⑤《陕西省财政厅关于加快推进我省中小企业政府采购信用融资工作的通知》（陕财办采〔2020〕15 号） ⑥《陕西省中小企业政府采购信用融资办法》陕财办采〔2018〕23号 ⑦《关于运用政府采购政策支持乡村产业振兴的通知》（财库〔2021〕19 号） ⑧《关于进一步加大政府采购支持中小企业力度的通知》（财库〔2022〕19号） ⑨《陕西省财政厅关于进一步落实政府采购支持中小企业相关政策的通知》（陕财办采〔2023〕3号）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“★”项参数为实质性响应内容，供应商必须响应并满足参数需求，不满足按无效文件处理</w:t>
            </w:r>
          </w:p>
        </w:tc>
        <w:tc>
          <w:tcPr>
            <w:tcW w:type="dxa" w:w="3322"/>
          </w:tcPr>
          <w:p>
            <w:pPr>
              <w:pStyle w:val="null3"/>
            </w:pPr>
            <w:r>
              <w:rPr>
                <w:rFonts w:ascii="仿宋_GB2312" w:hAnsi="仿宋_GB2312" w:cs="仿宋_GB2312" w:eastAsia="仿宋_GB2312"/>
              </w:rPr>
              <w:t>“★”项参数为实质性响应内容，供应商必须响应并满足参数需求，不满足按无效文件处理</w:t>
            </w:r>
          </w:p>
        </w:tc>
        <w:tc>
          <w:tcPr>
            <w:tcW w:type="dxa" w:w="1661"/>
          </w:tcPr>
          <w:p>
            <w:pPr>
              <w:pStyle w:val="null3"/>
            </w:pPr>
            <w:r>
              <w:rPr>
                <w:rFonts w:ascii="仿宋_GB2312" w:hAnsi="仿宋_GB2312" w:cs="仿宋_GB2312" w:eastAsia="仿宋_GB2312"/>
              </w:rPr>
              <w:t>投标人认为有必要说明的问题.docx 产品技术参数表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投标产品的技术指标、参数完全符合、满足招标文件要求计20分；参数每负偏离一项扣2分，扣完为止。 注：提供投标产品的技术指标、参数的相应的佐证材料，经评审专家审定得分。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的实施方案；包括但不限于：①施工方案；②供货组织安排及包装运输方案；③验收方案；④人员配备；满分16分。每有一项缺项扣4分，每有一项内容中有缺陷，指项目需求不匹配或不能满足项目实施要求及其他不利于项目实施的扣2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质量、进度保证措施</w:t>
            </w:r>
          </w:p>
        </w:tc>
        <w:tc>
          <w:tcPr>
            <w:tcW w:type="dxa" w:w="2492"/>
          </w:tcPr>
          <w:p>
            <w:pPr>
              <w:pStyle w:val="null3"/>
            </w:pPr>
            <w:r>
              <w:rPr>
                <w:rFonts w:ascii="仿宋_GB2312" w:hAnsi="仿宋_GB2312" w:cs="仿宋_GB2312" w:eastAsia="仿宋_GB2312"/>
              </w:rPr>
              <w:t>针对本项目提供质量保证方案。内容包含但不限于：①质量保证措施；②进度保证措施；③产品进货渠道正规（需提供所投产品的合法来源渠道证明文件，不限于原厂授权或销售协议）。满分12分。每有一项缺项扣4分，每有一项内容中有缺陷，指项目需求不匹配或不能满足项目实施要求及其他不利于项目实施的扣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详细评审---质量、进度保证措施.docx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据投标人针对本项目实际情况提供详细的售后服务方案：包括①服务承诺；②售后服务专业人员；③应急保障；④快速反应能力和故障维修响应时间。满分16分。每有一项缺项扣4分，每有一项内容中有缺陷，指项目需求不匹配或不能满足项目实施要求及其他不利于项目实施的扣2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所投拼装运动地板企业或制造商具有ISO9001质量管理体系、ISO14001环境管理体系、ISO45001职业健康体系认证证书，须提供证书和官网截图扫描件，每提供1个得1分，满分3分。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详细评审---企业实力.docx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提供投标人2022年1月1日至今（以合同签订日期为准）同类项目完整合同，每提供1个计0.5分，最高得2分，提供不全不计分。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计0.5分，每有一项为环境标志产品经国家认证的计0.5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下列公式计算：投标报价得分=（评标基准价／投标报价）×价格权值，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详见附件：详细评审---质量、进度保证措施.docx</w:t>
      </w:r>
    </w:p>
    <w:p>
      <w:pPr>
        <w:pStyle w:val="null3"/>
        <w:ind w:firstLine="960"/>
      </w:pPr>
      <w:r>
        <w:rPr>
          <w:rFonts w:ascii="仿宋_GB2312" w:hAnsi="仿宋_GB2312" w:cs="仿宋_GB2312" w:eastAsia="仿宋_GB2312"/>
        </w:rPr>
        <w:t>详见附件：详细评审---企业实力.docx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