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版本号：GR25-CS-04720250825001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2025年厅机关干部职工体检项目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GR25-CS-047</w:t>
      </w:r>
      <w:r>
        <w:br/>
      </w:r>
      <w:r>
        <w:br/>
      </w:r>
      <w:r>
        <w:br/>
      </w:r>
    </w:p>
    <w:p>
      <w:pPr>
        <w:pStyle w:val="null3"/>
        <w:jc w:val="center"/>
        <w:outlineLvl w:val="2"/>
      </w:pPr>
      <w:r>
        <w:rPr>
          <w:rFonts w:ascii="仿宋_GB2312" w:hAnsi="仿宋_GB2312" w:cs="仿宋_GB2312" w:eastAsia="仿宋_GB2312"/>
          <w:sz w:val="28"/>
          <w:b/>
        </w:rPr>
        <w:t>陕西省民政厅机关</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陕西省民政厅机关</w:t>
      </w:r>
      <w:r>
        <w:rPr>
          <w:rFonts w:ascii="仿宋_GB2312" w:hAnsi="仿宋_GB2312" w:cs="仿宋_GB2312" w:eastAsia="仿宋_GB2312"/>
        </w:rPr>
        <w:t>委托，拟对</w:t>
      </w:r>
      <w:r>
        <w:rPr>
          <w:rFonts w:ascii="仿宋_GB2312" w:hAnsi="仿宋_GB2312" w:cs="仿宋_GB2312" w:eastAsia="仿宋_GB2312"/>
        </w:rPr>
        <w:t>2025年厅机关干部职工体检项目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2025年厅机关干部职工体检项目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本项目为陕西省民政厅2025年厅机关干部职工体检项目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1、《医疗机构执业许可证》《放射诊疗许可证》：供应商须具有卫生主管部门颁发的《医疗机构执业许可证》和《放射诊疗许可证》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陕西省民政厅机关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西安市新城区东新街403号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陕西省民政厅机关经办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15202906396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成交）金额作为收费基数，按照国家计委（计价格【2002】1980号）《招标代理服务收费管理暂行办法》规定的服务类收费标准收取。由成交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陕西省民政厅机关</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陕西省民政厅机关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陕西省民政厅机关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本项目为陕西省民政厅2025年厅机关干部职工体检项目。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2025年厅机关干部职工体检项目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标的名称：2025年厅机关干部职工体检项目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20"/>
              <w:jc w:val="both"/>
            </w:pPr>
            <w:r>
              <w:rPr>
                <w:rFonts w:ascii="仿宋_GB2312" w:hAnsi="仿宋_GB2312" w:cs="仿宋_GB2312" w:eastAsia="仿宋_GB2312"/>
                <w:sz w:val="20"/>
              </w:rPr>
              <w:t>本项目为陕西省民政厅</w:t>
            </w:r>
            <w:r>
              <w:rPr>
                <w:rFonts w:ascii="仿宋_GB2312" w:hAnsi="仿宋_GB2312" w:cs="仿宋_GB2312" w:eastAsia="仿宋_GB2312"/>
                <w:sz w:val="20"/>
              </w:rPr>
              <w:t>2025年厅机关干部职工体检项目。</w:t>
            </w:r>
          </w:p>
          <w:p>
            <w:pPr>
              <w:pStyle w:val="null3"/>
              <w:ind w:firstLine="420"/>
              <w:jc w:val="both"/>
            </w:pPr>
            <w:r>
              <w:rPr>
                <w:rFonts w:ascii="仿宋_GB2312" w:hAnsi="仿宋_GB2312" w:cs="仿宋_GB2312" w:eastAsia="仿宋_GB2312"/>
                <w:sz w:val="20"/>
                <w:b/>
                <w:shd w:fill="FFFFFF" w:val="clear"/>
              </w:rPr>
              <w:t>本项目所属行业为其他未列明行业。</w:t>
            </w:r>
            <w:r>
              <w:rPr>
                <w:rFonts w:ascii="仿宋_GB2312" w:hAnsi="仿宋_GB2312" w:cs="仿宋_GB2312" w:eastAsia="仿宋_GB2312"/>
                <w:sz w:val="20"/>
                <w:shd w:fill="FFFFFF" w:val="clear"/>
              </w:rPr>
              <w:t>（从业人员</w:t>
            </w:r>
            <w:r>
              <w:rPr>
                <w:rFonts w:ascii="仿宋_GB2312" w:hAnsi="仿宋_GB2312" w:cs="仿宋_GB2312" w:eastAsia="仿宋_GB2312"/>
                <w:sz w:val="20"/>
                <w:shd w:fill="FFFFFF" w:val="clear"/>
              </w:rPr>
              <w:t>300人以下的为中小微型企业。其中，从业人员100人及以上的为中型企业；从业人员10人及以上的为小型企业；从业人员10人以下的为微型企业。）</w:t>
            </w:r>
          </w:p>
          <w:p>
            <w:pPr>
              <w:pStyle w:val="null3"/>
              <w:spacing w:before="90" w:after="90"/>
              <w:jc w:val="both"/>
            </w:pPr>
            <w:r>
              <w:rPr>
                <w:rFonts w:ascii="仿宋_GB2312" w:hAnsi="仿宋_GB2312" w:cs="仿宋_GB2312" w:eastAsia="仿宋_GB2312"/>
                <w:sz w:val="20"/>
                <w:b/>
              </w:rPr>
              <w:t>二、服务内容</w:t>
            </w:r>
          </w:p>
          <w:p>
            <w:pPr>
              <w:pStyle w:val="null3"/>
              <w:ind w:firstLine="42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服务对象：</w:t>
            </w:r>
            <w:r>
              <w:rPr>
                <w:rFonts w:ascii="仿宋_GB2312" w:hAnsi="仿宋_GB2312" w:cs="仿宋_GB2312" w:eastAsia="仿宋_GB2312"/>
                <w:sz w:val="20"/>
                <w:color w:val="000000"/>
              </w:rPr>
              <w:t>男性</w:t>
            </w:r>
            <w:r>
              <w:rPr>
                <w:rFonts w:ascii="仿宋_GB2312" w:hAnsi="仿宋_GB2312" w:cs="仿宋_GB2312" w:eastAsia="仿宋_GB2312"/>
                <w:sz w:val="20"/>
                <w:color w:val="000000"/>
              </w:rPr>
              <w:t>职工</w:t>
            </w:r>
            <w:r>
              <w:rPr>
                <w:rFonts w:ascii="仿宋_GB2312" w:hAnsi="仿宋_GB2312" w:cs="仿宋_GB2312" w:eastAsia="仿宋_GB2312"/>
                <w:sz w:val="20"/>
                <w:color w:val="000000"/>
              </w:rPr>
              <w:t>139</w:t>
            </w:r>
            <w:r>
              <w:rPr>
                <w:rFonts w:ascii="仿宋_GB2312" w:hAnsi="仿宋_GB2312" w:cs="仿宋_GB2312" w:eastAsia="仿宋_GB2312"/>
                <w:sz w:val="20"/>
                <w:color w:val="000000"/>
              </w:rPr>
              <w:t>人</w:t>
            </w:r>
            <w:r>
              <w:rPr>
                <w:rFonts w:ascii="仿宋_GB2312" w:hAnsi="仿宋_GB2312" w:cs="仿宋_GB2312" w:eastAsia="仿宋_GB2312"/>
                <w:sz w:val="20"/>
                <w:color w:val="000000"/>
              </w:rPr>
              <w:t>、</w:t>
            </w:r>
            <w:r>
              <w:rPr>
                <w:rFonts w:ascii="仿宋_GB2312" w:hAnsi="仿宋_GB2312" w:cs="仿宋_GB2312" w:eastAsia="仿宋_GB2312"/>
                <w:sz w:val="20"/>
                <w:color w:val="000000"/>
              </w:rPr>
              <w:t>已婚女性</w:t>
            </w:r>
            <w:r>
              <w:rPr>
                <w:rFonts w:ascii="仿宋_GB2312" w:hAnsi="仿宋_GB2312" w:cs="仿宋_GB2312" w:eastAsia="仿宋_GB2312"/>
                <w:sz w:val="20"/>
                <w:color w:val="000000"/>
              </w:rPr>
              <w:t>46</w:t>
            </w:r>
            <w:r>
              <w:rPr>
                <w:rFonts w:ascii="仿宋_GB2312" w:hAnsi="仿宋_GB2312" w:cs="仿宋_GB2312" w:eastAsia="仿宋_GB2312"/>
                <w:sz w:val="20"/>
                <w:color w:val="000000"/>
              </w:rPr>
              <w:t>人、</w:t>
            </w:r>
            <w:r>
              <w:rPr>
                <w:rFonts w:ascii="仿宋_GB2312" w:hAnsi="仿宋_GB2312" w:cs="仿宋_GB2312" w:eastAsia="仿宋_GB2312"/>
                <w:sz w:val="20"/>
                <w:color w:val="000000"/>
              </w:rPr>
              <w:t>未婚</w:t>
            </w:r>
            <w:r>
              <w:rPr>
                <w:rFonts w:ascii="仿宋_GB2312" w:hAnsi="仿宋_GB2312" w:cs="仿宋_GB2312" w:eastAsia="仿宋_GB2312"/>
                <w:sz w:val="20"/>
                <w:color w:val="000000"/>
              </w:rPr>
              <w:t>女性</w:t>
            </w:r>
            <w:r>
              <w:rPr>
                <w:rFonts w:ascii="仿宋_GB2312" w:hAnsi="仿宋_GB2312" w:cs="仿宋_GB2312" w:eastAsia="仿宋_GB2312"/>
                <w:sz w:val="20"/>
                <w:color w:val="000000"/>
              </w:rPr>
              <w:t>6</w:t>
            </w:r>
            <w:r>
              <w:rPr>
                <w:rFonts w:ascii="仿宋_GB2312" w:hAnsi="仿宋_GB2312" w:cs="仿宋_GB2312" w:eastAsia="仿宋_GB2312"/>
                <w:sz w:val="20"/>
                <w:color w:val="000000"/>
              </w:rPr>
              <w:t>人，共计191人；</w:t>
            </w:r>
          </w:p>
          <w:p>
            <w:pPr>
              <w:pStyle w:val="null3"/>
              <w:ind w:firstLine="420"/>
              <w:jc w:val="both"/>
            </w:pPr>
            <w:r>
              <w:rPr>
                <w:rFonts w:ascii="仿宋_GB2312" w:hAnsi="仿宋_GB2312" w:cs="仿宋_GB2312" w:eastAsia="仿宋_GB2312"/>
                <w:sz w:val="20"/>
              </w:rPr>
              <w:t>2、体检内容：详见附件</w:t>
            </w:r>
          </w:p>
          <w:p>
            <w:pPr>
              <w:pStyle w:val="null3"/>
              <w:jc w:val="both"/>
            </w:pPr>
            <w:r>
              <w:rPr>
                <w:rFonts w:ascii="仿宋_GB2312" w:hAnsi="仿宋_GB2312" w:cs="仿宋_GB2312" w:eastAsia="仿宋_GB2312"/>
                <w:sz w:val="20"/>
                <w:b/>
                <w:shd w:fill="FFFFFF" w:val="clear"/>
              </w:rPr>
              <w:t>三、服务要求</w:t>
            </w:r>
          </w:p>
          <w:p>
            <w:pPr>
              <w:pStyle w:val="null3"/>
              <w:ind w:firstLine="420"/>
              <w:jc w:val="left"/>
            </w:pPr>
            <w:r>
              <w:rPr>
                <w:rFonts w:ascii="仿宋_GB2312" w:hAnsi="仿宋_GB2312" w:cs="仿宋_GB2312" w:eastAsia="仿宋_GB2312"/>
                <w:sz w:val="20"/>
                <w:color w:val="000000"/>
              </w:rPr>
              <w:t>1、本次体检应在当地进行，在体检期间做好标识标牌，保证参检人员方便快捷进行各项体检。</w:t>
            </w:r>
          </w:p>
          <w:p>
            <w:pPr>
              <w:pStyle w:val="null3"/>
              <w:ind w:firstLine="420"/>
              <w:jc w:val="left"/>
            </w:pPr>
            <w:r>
              <w:rPr>
                <w:rFonts w:ascii="仿宋_GB2312" w:hAnsi="仿宋_GB2312" w:cs="仿宋_GB2312" w:eastAsia="仿宋_GB2312"/>
                <w:sz w:val="20"/>
                <w:color w:val="000000"/>
              </w:rPr>
              <w:t>2、体检机构应对参检人员信息进行核对，确认核对是本人后方可体检。</w:t>
            </w:r>
          </w:p>
          <w:p>
            <w:pPr>
              <w:pStyle w:val="null3"/>
              <w:ind w:firstLine="420"/>
              <w:jc w:val="left"/>
            </w:pPr>
            <w:r>
              <w:rPr>
                <w:rFonts w:ascii="仿宋_GB2312" w:hAnsi="仿宋_GB2312" w:cs="仿宋_GB2312" w:eastAsia="仿宋_GB2312"/>
                <w:sz w:val="20"/>
                <w:color w:val="000000"/>
              </w:rPr>
              <w:t>3、本着科学、严谨的工作态度，严格按医疗规范标准执行，确保向参检人员提供切实可信的体检，涉及到个人隐私应告知本人，不得向第三方传播。</w:t>
            </w:r>
          </w:p>
          <w:p>
            <w:pPr>
              <w:pStyle w:val="null3"/>
              <w:ind w:firstLine="420"/>
              <w:jc w:val="left"/>
            </w:pPr>
            <w:r>
              <w:rPr>
                <w:rFonts w:ascii="仿宋_GB2312" w:hAnsi="仿宋_GB2312" w:cs="仿宋_GB2312" w:eastAsia="仿宋_GB2312"/>
                <w:sz w:val="20"/>
                <w:color w:val="000000"/>
              </w:rPr>
              <w:t>4、按规定的检查项目内容为参检人员提供对应的体检服务和体检器材,保证一人一针一管（器），用于医疗活动的器材需要符合《医疗器械监督管理条例》和相关的国家标准，确保产品的安全性和有效性。</w:t>
            </w:r>
          </w:p>
          <w:p>
            <w:pPr>
              <w:pStyle w:val="null3"/>
              <w:ind w:firstLine="420"/>
              <w:jc w:val="left"/>
            </w:pPr>
            <w:r>
              <w:rPr>
                <w:rFonts w:ascii="仿宋_GB2312" w:hAnsi="仿宋_GB2312" w:cs="仿宋_GB2312" w:eastAsia="仿宋_GB2312"/>
                <w:sz w:val="20"/>
                <w:color w:val="000000"/>
              </w:rPr>
              <w:t>5、在所有人员体检完成后，及时以短信等电子形式将个人检查结论告知本人，并为所有参检人员出具体检报告。</w:t>
            </w:r>
          </w:p>
          <w:p>
            <w:pPr>
              <w:pStyle w:val="null3"/>
              <w:ind w:firstLine="420"/>
              <w:jc w:val="left"/>
            </w:pPr>
            <w:r>
              <w:rPr>
                <w:rFonts w:ascii="仿宋_GB2312" w:hAnsi="仿宋_GB2312" w:cs="仿宋_GB2312" w:eastAsia="仿宋_GB2312"/>
                <w:sz w:val="20"/>
                <w:color w:val="000000"/>
              </w:rPr>
              <w:t>6、绿色通道</w:t>
            </w:r>
            <w:r>
              <w:rPr>
                <w:rFonts w:ascii="仿宋_GB2312" w:hAnsi="仿宋_GB2312" w:cs="仿宋_GB2312" w:eastAsia="仿宋_GB2312"/>
                <w:sz w:val="20"/>
                <w:color w:val="000000"/>
              </w:rPr>
              <w:t>：为体检人员准备早餐；</w:t>
            </w:r>
            <w:r>
              <w:rPr>
                <w:rFonts w:ascii="仿宋_GB2312" w:hAnsi="仿宋_GB2312" w:cs="仿宋_GB2312" w:eastAsia="仿宋_GB2312"/>
                <w:sz w:val="20"/>
                <w:color w:val="000000"/>
              </w:rPr>
              <w:t>根据体检人员个人情况进行定制检查服务、专家报告解读、中医辨证论治。</w:t>
            </w:r>
          </w:p>
          <w:p>
            <w:pPr>
              <w:pStyle w:val="null3"/>
              <w:ind w:firstLine="420"/>
              <w:jc w:val="left"/>
            </w:pPr>
            <w:r>
              <w:rPr>
                <w:rFonts w:ascii="仿宋_GB2312" w:hAnsi="仿宋_GB2312" w:cs="仿宋_GB2312" w:eastAsia="仿宋_GB2312"/>
                <w:sz w:val="20"/>
                <w:color w:val="000000"/>
              </w:rPr>
              <w:t>附件：</w:t>
            </w:r>
          </w:p>
          <w:tbl>
            <w:tblPr>
              <w:tblBorders>
                <w:top w:val="none" w:color="000000" w:sz="4"/>
                <w:left w:val="none" w:color="000000" w:sz="4"/>
                <w:bottom w:val="none" w:color="000000" w:sz="4"/>
                <w:right w:val="none" w:color="000000" w:sz="4"/>
                <w:insideH w:val="none"/>
                <w:insideV w:val="none"/>
              </w:tblBorders>
            </w:tblPr>
            <w:tblGrid>
              <w:gridCol w:w="319"/>
              <w:gridCol w:w="426"/>
              <w:gridCol w:w="1147"/>
              <w:gridCol w:w="215"/>
              <w:gridCol w:w="215"/>
              <w:gridCol w:w="215"/>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男性</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已婚女性</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未婚女性</w:t>
                  </w: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物理检查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一般检查</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测身高、体重、心律、腰围、血压</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心肺听诊、肝脾触诊、肾区叩诊</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淋巴结、甲状腺、脊柱、四肢</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眼科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眼科一般检查</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耳鼻喉科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鼻窦炎、中耳炎、鼻中隔偏曲、鼻咽喉阻塞等疾病。</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健康体检</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报告汇总、报告结论、健康建议、电子档案、报告解读</w:t>
                  </w: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口腔科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颌面部和口内部检查</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眼底照相</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筛查视网膜病变</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眼压</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检查是否有眼压升高或降低</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裂隙灯</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对角膜、虹膜、晶体作全面观察</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粪常规</w:t>
                  </w:r>
                  <w:r>
                    <w:rPr>
                      <w:rFonts w:ascii="仿宋_GB2312" w:hAnsi="仿宋_GB2312" w:cs="仿宋_GB2312" w:eastAsia="仿宋_GB2312"/>
                      <w:sz w:val="20"/>
                    </w:rPr>
                    <w:t>+隐血</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有无消化道出血、消化道寄生虫感染等</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超声检查</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腹部</w:t>
                  </w:r>
                  <w:r>
                    <w:rPr>
                      <w:rFonts w:ascii="仿宋_GB2312" w:hAnsi="仿宋_GB2312" w:cs="仿宋_GB2312" w:eastAsia="仿宋_GB2312"/>
                      <w:sz w:val="20"/>
                    </w:rPr>
                    <w:t>B超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tcBorders>
                    <w:top w:val="none" w:color="000000" w:sz="4"/>
                    <w:left w:val="singl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泌尿</w:t>
                  </w:r>
                  <w:r>
                    <w:rPr>
                      <w:rFonts w:ascii="仿宋_GB2312" w:hAnsi="仿宋_GB2312" w:cs="仿宋_GB2312" w:eastAsia="仿宋_GB2312"/>
                      <w:sz w:val="20"/>
                    </w:rPr>
                    <w:t>B超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tcBorders>
                    <w:top w:val="none" w:color="000000" w:sz="4"/>
                    <w:left w:val="singl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妇科</w:t>
                  </w:r>
                  <w:r>
                    <w:rPr>
                      <w:rFonts w:ascii="仿宋_GB2312" w:hAnsi="仿宋_GB2312" w:cs="仿宋_GB2312" w:eastAsia="仿宋_GB2312"/>
                      <w:sz w:val="20"/>
                    </w:rPr>
                    <w:t>B超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tcBorders>
                    <w:top w:val="none" w:color="000000" w:sz="4"/>
                    <w:left w:val="singl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甲状腺</w:t>
                  </w:r>
                  <w:r>
                    <w:rPr>
                      <w:rFonts w:ascii="仿宋_GB2312" w:hAnsi="仿宋_GB2312" w:cs="仿宋_GB2312" w:eastAsia="仿宋_GB2312"/>
                      <w:sz w:val="20"/>
                    </w:rPr>
                    <w:t>B超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tcBorders>
                    <w:top w:val="none" w:color="000000" w:sz="4"/>
                    <w:left w:val="singl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心脏彩超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tcBorders>
                    <w:top w:val="none" w:color="000000" w:sz="4"/>
                    <w:left w:val="singl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双侧乳腺</w:t>
                  </w:r>
                  <w:r>
                    <w:rPr>
                      <w:rFonts w:ascii="仿宋_GB2312" w:hAnsi="仿宋_GB2312" w:cs="仿宋_GB2312" w:eastAsia="仿宋_GB2312"/>
                      <w:sz w:val="20"/>
                    </w:rPr>
                    <w:t>B超</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影像检查</w:t>
                  </w:r>
                </w:p>
              </w:tc>
              <w:tc>
                <w:tcPr>
                  <w:tcW w:type="dxa" w:w="1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胸部</w:t>
                  </w:r>
                  <w:r>
                    <w:rPr>
                      <w:rFonts w:ascii="仿宋_GB2312" w:hAnsi="仿宋_GB2312" w:cs="仿宋_GB2312" w:eastAsia="仿宋_GB2312"/>
                      <w:sz w:val="20"/>
                    </w:rPr>
                    <w:t>CT</w:t>
                  </w:r>
                </w:p>
              </w:tc>
              <w:tc>
                <w:tcPr>
                  <w:tcW w:type="dxa" w:w="2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血液检查</w:t>
                  </w:r>
                </w:p>
              </w:tc>
              <w:tc>
                <w:tcPr>
                  <w:tcW w:type="dxa" w:w="42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常规检查</w:t>
                  </w: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血常规</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尿液分析</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肝功十项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肾功四项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甲功五项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乙肝系列</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11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血脂四项</w:t>
                  </w:r>
                </w:p>
              </w:tc>
              <w:tc>
                <w:tcPr>
                  <w:tcW w:type="dxa" w:w="2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single" w:color="000000" w:sz="4"/>
                    <w:left w:val="none" w:color="000000" w:sz="4"/>
                    <w:bottom w:val="single" w:color="000000" w:sz="4"/>
                    <w:right w:val="single" w:color="000000" w:sz="4"/>
                  </w:tcBorders>
                </w:tcP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糖化血红蛋白</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肿瘤检查</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AFP</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CEA</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CA199</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TPSA+FPSA</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CA125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CA153</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神经元特异性烯醇化酶</w:t>
                  </w:r>
                  <w:r>
                    <w:rPr>
                      <w:rFonts w:ascii="仿宋_GB2312" w:hAnsi="仿宋_GB2312" w:cs="仿宋_GB2312" w:eastAsia="仿宋_GB2312"/>
                      <w:sz w:val="20"/>
                    </w:rPr>
                    <w:t>NSE</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319"/>
                  <w:vMerge/>
                  <w:tcBorders>
                    <w:top w:val="none" w:color="000000" w:sz="4"/>
                    <w:left w:val="single" w:color="000000" w:sz="4"/>
                    <w:bottom w:val="single" w:color="000000" w:sz="4"/>
                    <w:right w:val="single" w:color="000000" w:sz="4"/>
                  </w:tcBorders>
                </w:tcPr>
                <w:p/>
              </w:tc>
              <w:tc>
                <w:tcPr>
                  <w:tcW w:type="dxa" w:w="426"/>
                  <w:vMerge/>
                  <w:tcBorders>
                    <w:top w:val="none" w:color="000000" w:sz="4"/>
                    <w:left w:val="non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鳞状细胞癌相关抗原</w:t>
                  </w:r>
                  <w:r>
                    <w:rPr>
                      <w:rFonts w:ascii="仿宋_GB2312" w:hAnsi="仿宋_GB2312" w:cs="仿宋_GB2312" w:eastAsia="仿宋_GB2312"/>
                      <w:sz w:val="20"/>
                    </w:rPr>
                    <w:t>SCC</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心电图</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十二导联</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妇科检查</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妇科检查</w:t>
                  </w:r>
                  <w:r>
                    <w:rPr>
                      <w:rFonts w:ascii="仿宋_GB2312" w:hAnsi="仿宋_GB2312" w:cs="仿宋_GB2312" w:eastAsia="仿宋_GB2312"/>
                      <w:sz w:val="20"/>
                    </w:rPr>
                    <w:t>+液基TCT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tcBorders>
                    <w:top w:val="none" w:color="000000" w:sz="4"/>
                    <w:left w:val="singl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HPV</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其他检查</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动脉硬化检查</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tcBorders>
                    <w:top w:val="none" w:color="000000" w:sz="4"/>
                    <w:left w:val="singl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双能骨密度</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745"/>
                  <w:gridSpan w:val="2"/>
                  <w:vMerge/>
                  <w:tcBorders>
                    <w:top w:val="none" w:color="000000" w:sz="4"/>
                    <w:left w:val="single" w:color="000000" w:sz="4"/>
                    <w:bottom w:val="single" w:color="000000" w:sz="4"/>
                    <w:right w:val="single" w:color="000000" w:sz="4"/>
                  </w:tcBorders>
                </w:tcP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w:t>
                  </w:r>
                  <w:r>
                    <w:rPr>
                      <w:rFonts w:ascii="仿宋_GB2312" w:hAnsi="仿宋_GB2312" w:cs="仿宋_GB2312" w:eastAsia="仿宋_GB2312"/>
                      <w:sz w:val="20"/>
                    </w:rPr>
                    <w:t>13呼气试验</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服务完成并完成验收后，达到付款条件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《医疗机构执业许可证》《放射诊疗许可证》</w:t>
            </w:r>
          </w:p>
        </w:tc>
        <w:tc>
          <w:tcPr>
            <w:tcW w:type="dxa" w:w="3322"/>
          </w:tcPr>
          <w:p>
            <w:pPr>
              <w:pStyle w:val="null3"/>
            </w:pPr>
            <w:r>
              <w:rPr>
                <w:rFonts w:ascii="仿宋_GB2312" w:hAnsi="仿宋_GB2312" w:cs="仿宋_GB2312" w:eastAsia="仿宋_GB2312"/>
              </w:rPr>
              <w:t>供应商须具有卫生主管部门颁发的《医疗机构执业许可证》和《放射诊疗许可证》</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响应方案说明.docx 分项报价表.docx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供应商具有同类项目业绩，提供合同扫描件或中标通知书，每提供一份得2分，满分12分。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针对本项目提供体检报告及保密措施，包括但不限于①参检人员所有信息数据保密方案；②体检结果保密措施。 二、评审标准 1、完善性：方案必须全面，对评审内容中的各项要求有详细阐述； 2、可实施性：切合本项目实际情况，提出步骤清晰、合理的方案； 3、针对性：方案能够紧扣项目实际情况，内容科学合理。 三、赋分依据（满分12分） ①参检人员所有信息数据保密方案：每一个评审标准[0-2]分，满分6分； ②体检结果保密措施：每一个评审标准[0-2]分，满分6分。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专业意见及治疗方案</w:t>
            </w:r>
          </w:p>
        </w:tc>
        <w:tc>
          <w:tcPr>
            <w:tcW w:type="dxa" w:w="2492"/>
          </w:tcPr>
          <w:p>
            <w:pPr>
              <w:pStyle w:val="null3"/>
            </w:pPr>
            <w:r>
              <w:rPr>
                <w:rFonts w:ascii="仿宋_GB2312" w:hAnsi="仿宋_GB2312" w:cs="仿宋_GB2312" w:eastAsia="仿宋_GB2312"/>
              </w:rPr>
              <w:t>一、评审内容 供应商可根据体检报告中出现的异常指标出具详细的①专业意见②治疗方案。 二、评审标准 1、完善性：方案必须全面，对评审内容中的各项要求有详细阐述； 2、可实施性：切合本项目实际情况，提出步骤清晰、合理的方案； 3、针对性：方案能够紧扣项目实际情况，内容科学合理。 三、赋分依据（满分12分） ①专业意见：每一个评审标准[0-2]分，满分6分； ②治疗方案：每一个评审标准[0-2]分，满分6分。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绿色就医通道</w:t>
            </w:r>
          </w:p>
        </w:tc>
        <w:tc>
          <w:tcPr>
            <w:tcW w:type="dxa" w:w="2492"/>
          </w:tcPr>
          <w:p>
            <w:pPr>
              <w:pStyle w:val="null3"/>
            </w:pPr>
            <w:r>
              <w:rPr>
                <w:rFonts w:ascii="仿宋_GB2312" w:hAnsi="仿宋_GB2312" w:cs="仿宋_GB2312" w:eastAsia="仿宋_GB2312"/>
              </w:rPr>
              <w:t>一、评审内容 供应商能够提供后续的绿色就医通道，必要时可提供导医导诊等需求，保障讲座及绿色就医服务。 二、评审标准 1、完善性：方案必须全面，对评审内容中的各项要求有详细阐述； 2、可实施性：切合本项目实际情况，提出步骤清晰、合理的方案； 3、针对性：方案能够紧扣项目实际情况，内容科学合理。 三、赋分依据（满分6分） 提供后续的绿色就医通道，必要时可提供导医导诊等需求，保障讲座及绿色就医服务：每一个评审标准[0-2]分，满分6分。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一、评审内容 为体检人员提供早餐、健康咨询等其他服务。 二、评审标准 1、完善性：方案必须全面，对评审内容中的各项要求有详细阐述； 2、可实施性：切合本项目实际情况，提出步骤清晰、合理的方案； 3、针对性：方案能够紧扣项目实际情况，内容科学合理。 三、赋分依据（满分3分） 提供早餐、健康咨询等其他服务：每一个评审标准[0-1]分，满分3分。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体检信息化服务</w:t>
            </w:r>
          </w:p>
        </w:tc>
        <w:tc>
          <w:tcPr>
            <w:tcW w:type="dxa" w:w="2492"/>
          </w:tcPr>
          <w:p>
            <w:pPr>
              <w:pStyle w:val="null3"/>
            </w:pPr>
            <w:r>
              <w:rPr>
                <w:rFonts w:ascii="仿宋_GB2312" w:hAnsi="仿宋_GB2312" w:cs="仿宋_GB2312" w:eastAsia="仿宋_GB2312"/>
              </w:rPr>
              <w:t>一、评审内容 在检前、检中、检后全程提供智能化的体检信息服务，如电子信息录入系统、智能导检系统、智能叫号系统、健康档案管理系统、在线查询体检报告等系统服务。 二、评审标准 1、完善性：方案必须全面，对评审内容中的各项要求有详细阐述； 2、可实施性：切合本项目实际情况，提出步骤清晰、合理的方案； 3、针对性：方案能够紧扣项目实际情况，内容科学合理。 三、赋分依据（满分6分） 提供检前、检中、检后全程提供智能化的体检信息服务，如电子信息录入系统、智能导检系统、智能叫号系统、健康档案管理系统、在线查询体检报告等系统服务：每一个评审标准[0-2]分，满分6分。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一、评审内容 供应商在本地有体检服务点，包括但不限于①具备独立的体检场所、具体地址、交通便利情况（公交或地铁换乘方便）、面积、环境；②体检中心设有独立的妇科检查区域，人性化的女性专属通道，查体男女分区等服务。 二、评审标准 1、完善性：方案必须全面，对评审内容中的各项要求有详细阐述； 2、可实施性：切合本项目实际情况，提出步骤清晰、合理的方案； 3、针对性：方案能够紧扣项目实际情况，内容科学合理。 三、赋分依据（满分12分） ①具备独立的体检场所、具体地址、交通便利情况（公交或地铁换乘方便）、面积、环境:每一个评审标准[0-2]分，满分6分； ②体检中心设有独立的妇科检查区域，人性化的女性专属通道，查体男女分区等服务:每一个评审标准[0-2]分，满分6分。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一、评审内容 供应商须提供在本项目实施过程中所必须的检测仪器、试剂耗材等设备设施清单。 二、评审标准 1、清单完善性：设备清单完善，对设备参数有详细阐述； 2、设备先进性：提供相关证明资料； 3、检测的准确性：提供相关证明资料。 三、赋分依据（满分9分） 提供在本项目实施过程中所必须的检测仪器、试剂耗材等设备设施清单：每一个评审标准[0-3]分，满分9分。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供应商须提供针对本项目的应急处理措施及解决方案（包括体检者因血糖、血压引起的身体不适或其他的应对处理、供应商仪器故障或因其他人力不可抗拒因素，导致未能按时出具检测报告的补救措施等）。 二、评审标准 1、完善性：方案必须全面，对评审内容中的各项要求有详细阐述； 2、可实施性：切合本项目实际情况，提出步骤清晰、合理的方案； 3、针对性：方案能够紧扣项目实际情况，内容科学合理。 三、赋分依据（满分6分） 提供针对本项目的应急处理措施及解决方案（包括体检者因血糖、血压引起的身体不适或其他的应对处理、供应商仪器故障或因其他人力不可抗拒因素，导致未能按时出具检测报告的补救措施等）:每一个评审标准[0-2]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一、评审内容 供应商针对本项目提供专业的服务团队①人员岗位设置提供体检医生组成情况简介(执业资格证、职称等证明材料)；②人员专业能力（检查团队中级及以上专业技术职务任职资格的职业医师或技师配备充足）。 二、评审标准 1、完善性：方案必须全面，对评审内容中的各项要求有详细阐述； 2、可实施性：切合本项目实际情况，提出步骤清晰、合理的方案； 3、针对性：方案能够紧扣项目实际情况，内容科学合理。 三、赋分依据（满分12分） ①人员岗位设置提供体检医生组成情况简介(在职证明、执业资格证、职称等证明材料):每一个评审标准[0-2]分，满分6分； ②人员专业能力（检查团队中级及以上专业技术职务任职资格的职业医师或技师配备充足）:每一个评审标准[0-2]分，满分6分。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满足磋商文件要求,以本次最低有效磋商报价为基准价，其价格分为满分。报价得分=（评审基准价／磋商报价）×10%×100。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