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2B7E48">
      <w:pPr>
        <w:spacing w:before="120" w:line="360" w:lineRule="auto"/>
        <w:ind w:firstLine="0" w:firstLineChars="0"/>
        <w:jc w:val="center"/>
        <w:rPr>
          <w:rFonts w:hint="eastAsia" w:ascii="宋体" w:hAnsi="宋体" w:cs="宋体"/>
          <w:b/>
          <w:bCs/>
          <w:color w:val="000000" w:themeColor="text1"/>
          <w:spacing w:val="0"/>
          <w:sz w:val="36"/>
          <w:szCs w:val="36"/>
          <w:highlight w:val="none"/>
          <w14:textFill>
            <w14:solidFill>
              <w14:schemeClr w14:val="tx1"/>
            </w14:solidFill>
          </w14:textFill>
        </w:rPr>
      </w:pPr>
    </w:p>
    <w:p w14:paraId="75109FA9">
      <w:pPr>
        <w:spacing w:before="120" w:line="360" w:lineRule="auto"/>
        <w:ind w:firstLine="0" w:firstLineChars="0"/>
        <w:jc w:val="center"/>
        <w:rPr>
          <w:rFonts w:hint="eastAsia"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pacing w:val="0"/>
          <w:sz w:val="36"/>
          <w:szCs w:val="36"/>
          <w:highlight w:val="none"/>
          <w14:textFill>
            <w14:solidFill>
              <w14:schemeClr w14:val="tx1"/>
            </w14:solidFill>
          </w14:textFill>
        </w:rPr>
        <w:t>采购合同</w:t>
      </w:r>
    </w:p>
    <w:p w14:paraId="60F22222">
      <w:pPr>
        <w:pStyle w:val="4"/>
        <w:spacing w:line="267" w:lineRule="auto"/>
        <w:ind w:firstLine="420"/>
        <w:rPr>
          <w:color w:val="000000" w:themeColor="text1"/>
          <w14:textFill>
            <w14:solidFill>
              <w14:schemeClr w14:val="tx1"/>
            </w14:solidFill>
          </w14:textFill>
        </w:rPr>
      </w:pPr>
    </w:p>
    <w:p w14:paraId="545AA88F">
      <w:pPr>
        <w:pStyle w:val="4"/>
        <w:spacing w:line="267" w:lineRule="auto"/>
        <w:ind w:firstLine="420"/>
        <w:rPr>
          <w:color w:val="000000" w:themeColor="text1"/>
          <w14:textFill>
            <w14:solidFill>
              <w14:schemeClr w14:val="tx1"/>
            </w14:solidFill>
          </w14:textFill>
        </w:rPr>
      </w:pPr>
    </w:p>
    <w:p w14:paraId="76438C79">
      <w:pPr>
        <w:pStyle w:val="4"/>
        <w:spacing w:line="267" w:lineRule="auto"/>
        <w:ind w:firstLine="0" w:firstLineChars="0"/>
        <w:rPr>
          <w:color w:val="000000" w:themeColor="text1"/>
          <w14:textFill>
            <w14:solidFill>
              <w14:schemeClr w14:val="tx1"/>
            </w14:solidFill>
          </w14:textFill>
        </w:rPr>
      </w:pPr>
    </w:p>
    <w:p w14:paraId="57B5C217">
      <w:pPr>
        <w:pStyle w:val="4"/>
        <w:spacing w:line="268" w:lineRule="auto"/>
        <w:ind w:firstLine="420"/>
        <w:rPr>
          <w:color w:val="000000" w:themeColor="text1"/>
          <w14:textFill>
            <w14:solidFill>
              <w14:schemeClr w14:val="tx1"/>
            </w14:solidFill>
          </w14:textFill>
        </w:rPr>
      </w:pPr>
    </w:p>
    <w:p w14:paraId="68A84174">
      <w:pPr>
        <w:pStyle w:val="3"/>
        <w:rPr>
          <w:color w:val="000000" w:themeColor="text1"/>
          <w14:textFill>
            <w14:solidFill>
              <w14:schemeClr w14:val="tx1"/>
            </w14:solidFill>
          </w14:textFill>
        </w:rPr>
      </w:pPr>
    </w:p>
    <w:p w14:paraId="034C23AF">
      <w:pPr>
        <w:pStyle w:val="4"/>
        <w:spacing w:line="268" w:lineRule="auto"/>
        <w:ind w:firstLine="0" w:firstLineChars="0"/>
        <w:rPr>
          <w:color w:val="000000" w:themeColor="text1"/>
          <w14:textFill>
            <w14:solidFill>
              <w14:schemeClr w14:val="tx1"/>
            </w14:solidFill>
          </w14:textFill>
        </w:rPr>
      </w:pPr>
    </w:p>
    <w:p w14:paraId="36ADB43E">
      <w:pPr>
        <w:spacing w:line="500" w:lineRule="exact"/>
        <w:ind w:firstLine="1687" w:firstLineChars="700"/>
        <w:jc w:val="center"/>
        <w:rPr>
          <w:rFonts w:hint="eastAsia" w:ascii="宋体" w:hAnsi="宋体" w:cs="宋体"/>
          <w:b/>
          <w:bCs/>
          <w:color w:val="000000" w:themeColor="text1"/>
          <w:sz w:val="24"/>
          <w:highlight w:val="none"/>
          <w14:textFill>
            <w14:solidFill>
              <w14:schemeClr w14:val="tx1"/>
            </w14:solidFill>
          </w14:textFill>
        </w:rPr>
      </w:pPr>
    </w:p>
    <w:p w14:paraId="6DEBD9FE">
      <w:pPr>
        <w:spacing w:before="0" w:line="500" w:lineRule="exact"/>
        <w:ind w:left="0" w:firstLine="3373" w:firstLineChars="1400"/>
        <w:jc w:val="both"/>
        <w:outlineLvl w:val="9"/>
        <w:rPr>
          <w:rFonts w:hint="eastAsia" w:ascii="宋体" w:hAnsi="宋体" w:cs="宋体"/>
          <w:b/>
          <w:bCs/>
          <w:color w:val="000000" w:themeColor="text1"/>
          <w:sz w:val="24"/>
          <w:szCs w:val="24"/>
          <w:highlight w:val="none"/>
          <w14:textFill>
            <w14:solidFill>
              <w14:schemeClr w14:val="tx1"/>
            </w14:solidFill>
          </w14:textFill>
        </w:rPr>
      </w:pPr>
      <w:bookmarkStart w:id="0" w:name="_Toc32578"/>
      <w:bookmarkStart w:id="1" w:name="_Toc16974"/>
      <w:bookmarkStart w:id="2" w:name="_Toc15362"/>
      <w:r>
        <w:rPr>
          <w:rFonts w:hint="eastAsia" w:ascii="宋体" w:hAnsi="宋体" w:cs="宋体"/>
          <w:b/>
          <w:bCs/>
          <w:color w:val="000000" w:themeColor="text1"/>
          <w:spacing w:val="0"/>
          <w:position w:val="0"/>
          <w:sz w:val="24"/>
          <w:szCs w:val="24"/>
          <w:highlight w:val="none"/>
          <w14:textFill>
            <w14:solidFill>
              <w14:schemeClr w14:val="tx1"/>
            </w14:solidFill>
          </w14:textFill>
        </w:rPr>
        <w:t>合同编号：</w:t>
      </w:r>
      <w:bookmarkEnd w:id="0"/>
      <w:bookmarkEnd w:id="1"/>
      <w:bookmarkEnd w:id="2"/>
    </w:p>
    <w:p w14:paraId="52E785BD">
      <w:pPr>
        <w:spacing w:line="500" w:lineRule="exact"/>
        <w:ind w:firstLine="3373" w:firstLineChars="1400"/>
        <w:jc w:val="both"/>
        <w:rPr>
          <w:rFonts w:hint="default"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cs="宋体"/>
          <w:b/>
          <w:bCs/>
          <w:color w:val="000000" w:themeColor="text1"/>
          <w:spacing w:val="0"/>
          <w:sz w:val="24"/>
          <w:szCs w:val="24"/>
          <w:highlight w:val="none"/>
          <w14:textFill>
            <w14:solidFill>
              <w14:schemeClr w14:val="tx1"/>
            </w14:solidFill>
          </w14:textFill>
        </w:rPr>
        <w:t>会签编号：</w:t>
      </w:r>
    </w:p>
    <w:p w14:paraId="16B89EF9">
      <w:pPr>
        <w:pStyle w:val="4"/>
        <w:spacing w:line="247" w:lineRule="auto"/>
        <w:ind w:firstLine="420"/>
        <w:rPr>
          <w:color w:val="000000" w:themeColor="text1"/>
          <w14:textFill>
            <w14:solidFill>
              <w14:schemeClr w14:val="tx1"/>
            </w14:solidFill>
          </w14:textFill>
        </w:rPr>
      </w:pPr>
    </w:p>
    <w:p w14:paraId="5EDD7E98">
      <w:pPr>
        <w:pStyle w:val="4"/>
        <w:spacing w:line="247" w:lineRule="auto"/>
        <w:ind w:firstLine="420"/>
        <w:rPr>
          <w:color w:val="000000" w:themeColor="text1"/>
          <w14:textFill>
            <w14:solidFill>
              <w14:schemeClr w14:val="tx1"/>
            </w14:solidFill>
          </w14:textFill>
        </w:rPr>
      </w:pPr>
    </w:p>
    <w:p w14:paraId="56BBBBF3">
      <w:pPr>
        <w:pStyle w:val="4"/>
        <w:spacing w:line="247" w:lineRule="auto"/>
        <w:ind w:firstLine="420"/>
        <w:rPr>
          <w:color w:val="000000" w:themeColor="text1"/>
          <w14:textFill>
            <w14:solidFill>
              <w14:schemeClr w14:val="tx1"/>
            </w14:solidFill>
          </w14:textFill>
        </w:rPr>
      </w:pPr>
    </w:p>
    <w:p w14:paraId="62C80B9F">
      <w:pPr>
        <w:pStyle w:val="4"/>
        <w:spacing w:line="247" w:lineRule="auto"/>
        <w:ind w:firstLine="420"/>
        <w:rPr>
          <w:color w:val="000000" w:themeColor="text1"/>
          <w14:textFill>
            <w14:solidFill>
              <w14:schemeClr w14:val="tx1"/>
            </w14:solidFill>
          </w14:textFill>
        </w:rPr>
      </w:pPr>
    </w:p>
    <w:p w14:paraId="6EF7FCC7">
      <w:pPr>
        <w:pStyle w:val="4"/>
        <w:spacing w:line="247" w:lineRule="auto"/>
        <w:ind w:firstLine="420"/>
        <w:rPr>
          <w:color w:val="000000" w:themeColor="text1"/>
          <w14:textFill>
            <w14:solidFill>
              <w14:schemeClr w14:val="tx1"/>
            </w14:solidFill>
          </w14:textFill>
        </w:rPr>
      </w:pPr>
    </w:p>
    <w:p w14:paraId="464826B0">
      <w:pPr>
        <w:pStyle w:val="4"/>
        <w:spacing w:line="248" w:lineRule="auto"/>
        <w:ind w:firstLine="420"/>
        <w:rPr>
          <w:color w:val="000000" w:themeColor="text1"/>
          <w14:textFill>
            <w14:solidFill>
              <w14:schemeClr w14:val="tx1"/>
            </w14:solidFill>
          </w14:textFill>
        </w:rPr>
      </w:pPr>
    </w:p>
    <w:p w14:paraId="45059139">
      <w:pPr>
        <w:pStyle w:val="4"/>
        <w:spacing w:line="248" w:lineRule="auto"/>
        <w:ind w:firstLine="420"/>
        <w:rPr>
          <w:color w:val="000000" w:themeColor="text1"/>
          <w14:textFill>
            <w14:solidFill>
              <w14:schemeClr w14:val="tx1"/>
            </w14:solidFill>
          </w14:textFill>
        </w:rPr>
      </w:pPr>
    </w:p>
    <w:p w14:paraId="34B3D14C">
      <w:pPr>
        <w:ind w:left="2246" w:leftChars="266" w:hanging="1687" w:hangingChars="600"/>
        <w:rPr>
          <w:rFonts w:hint="eastAsia" w:ascii="宋体" w:hAnsi="宋体" w:cs="宋体"/>
          <w:b/>
          <w:bCs/>
          <w:color w:val="000000" w:themeColor="text1"/>
          <w:sz w:val="28"/>
          <w:szCs w:val="28"/>
          <w:highlight w:val="none"/>
          <w14:textFill>
            <w14:solidFill>
              <w14:schemeClr w14:val="tx1"/>
            </w14:solidFill>
          </w14:textFill>
        </w:rPr>
      </w:pPr>
    </w:p>
    <w:p w14:paraId="7DA637CD">
      <w:pPr>
        <w:ind w:left="2246" w:leftChars="266" w:hanging="1687" w:hangingChars="600"/>
        <w:rPr>
          <w:rFonts w:hint="eastAsia" w:ascii="宋体" w:hAnsi="宋体" w:cs="宋体"/>
          <w:b/>
          <w:bCs/>
          <w:color w:val="000000" w:themeColor="text1"/>
          <w:sz w:val="28"/>
          <w:szCs w:val="28"/>
          <w:highlight w:val="none"/>
          <w:u w:val="singl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 xml:space="preserve">项目名称： </w:t>
      </w:r>
      <w:r>
        <w:rPr>
          <w:rFonts w:hint="eastAsia" w:ascii="宋体" w:hAnsi="宋体" w:cs="宋体"/>
          <w:b/>
          <w:bCs/>
          <w:color w:val="000000" w:themeColor="text1"/>
          <w:sz w:val="28"/>
          <w:szCs w:val="28"/>
          <w:highlight w:val="none"/>
          <w:u w:val="single"/>
          <w:lang w:val="zh-CN"/>
          <w14:textFill>
            <w14:solidFill>
              <w14:schemeClr w14:val="tx1"/>
            </w14:solidFill>
          </w14:textFill>
        </w:rPr>
        <w:t>202</w:t>
      </w:r>
      <w:r>
        <w:rPr>
          <w:rFonts w:hint="eastAsia" w:ascii="宋体" w:hAnsi="宋体" w:cs="宋体"/>
          <w:b/>
          <w:bCs/>
          <w:color w:val="000000" w:themeColor="text1"/>
          <w:sz w:val="28"/>
          <w:szCs w:val="28"/>
          <w:highlight w:val="none"/>
          <w:u w:val="single"/>
          <w:lang w:val="en-US" w:eastAsia="zh-CN"/>
          <w14:textFill>
            <w14:solidFill>
              <w14:schemeClr w14:val="tx1"/>
            </w14:solidFill>
          </w14:textFill>
        </w:rPr>
        <w:t>5</w:t>
      </w:r>
      <w:r>
        <w:rPr>
          <w:rFonts w:hint="eastAsia" w:ascii="宋体" w:hAnsi="宋体" w:cs="宋体"/>
          <w:b/>
          <w:bCs/>
          <w:color w:val="000000" w:themeColor="text1"/>
          <w:sz w:val="28"/>
          <w:szCs w:val="28"/>
          <w:highlight w:val="none"/>
          <w:u w:val="single"/>
          <w:lang w:val="zh-CN"/>
          <w14:textFill>
            <w14:solidFill>
              <w14:schemeClr w14:val="tx1"/>
            </w14:solidFill>
          </w14:textFill>
        </w:rPr>
        <w:t>年度</w:t>
      </w:r>
      <w:r>
        <w:rPr>
          <w:rFonts w:hint="eastAsia" w:ascii="宋体" w:hAnsi="宋体" w:cs="宋体"/>
          <w:b/>
          <w:bCs/>
          <w:color w:val="000000" w:themeColor="text1"/>
          <w:sz w:val="28"/>
          <w:szCs w:val="28"/>
          <w:highlight w:val="none"/>
          <w:u w:val="single"/>
          <w14:textFill>
            <w14:solidFill>
              <w14:schemeClr w14:val="tx1"/>
            </w14:solidFill>
          </w14:textFill>
        </w:rPr>
        <w:t>图书馆</w:t>
      </w:r>
      <w:r>
        <w:rPr>
          <w:rFonts w:hint="eastAsia" w:ascii="宋体" w:hAnsi="宋体" w:cs="宋体"/>
          <w:b/>
          <w:bCs/>
          <w:color w:val="000000" w:themeColor="text1"/>
          <w:sz w:val="28"/>
          <w:szCs w:val="28"/>
          <w:highlight w:val="none"/>
          <w:u w:val="single"/>
          <w:lang w:val="zh-CN"/>
          <w14:textFill>
            <w14:solidFill>
              <w14:schemeClr w14:val="tx1"/>
            </w14:solidFill>
          </w14:textFill>
        </w:rPr>
        <w:t>纸质</w:t>
      </w:r>
      <w:r>
        <w:rPr>
          <w:rFonts w:hint="eastAsia" w:ascii="宋体" w:hAnsi="宋体" w:cs="宋体"/>
          <w:b/>
          <w:bCs/>
          <w:color w:val="000000" w:themeColor="text1"/>
          <w:sz w:val="28"/>
          <w:szCs w:val="28"/>
          <w:highlight w:val="none"/>
          <w:u w:val="single"/>
          <w14:textFill>
            <w14:solidFill>
              <w14:schemeClr w14:val="tx1"/>
            </w14:solidFill>
          </w14:textFill>
        </w:rPr>
        <w:t>资源</w:t>
      </w:r>
      <w:r>
        <w:rPr>
          <w:rFonts w:hint="eastAsia" w:ascii="宋体" w:hAnsi="宋体" w:cs="宋体"/>
          <w:b/>
          <w:bCs/>
          <w:color w:val="000000" w:themeColor="text1"/>
          <w:sz w:val="28"/>
          <w:szCs w:val="28"/>
          <w:highlight w:val="none"/>
          <w:u w:val="single"/>
          <w:lang w:val="zh-CN"/>
          <w14:textFill>
            <w14:solidFill>
              <w14:schemeClr w14:val="tx1"/>
            </w14:solidFill>
          </w14:textFill>
        </w:rPr>
        <w:t>采购项目</w:t>
      </w:r>
    </w:p>
    <w:p w14:paraId="38B0A3F1">
      <w:pPr>
        <w:ind w:left="2246" w:leftChars="266" w:hanging="1687" w:hangingChars="600"/>
        <w:rPr>
          <w:rFonts w:hint="eastAsia" w:ascii="宋体" w:hAnsi="宋体" w:cs="宋体"/>
          <w:b/>
          <w:bCs/>
          <w:color w:val="000000" w:themeColor="text1"/>
          <w:sz w:val="28"/>
          <w:szCs w:val="28"/>
          <w:highlight w:val="none"/>
          <w:lang w:val="zh-CN"/>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采购内容：</w:t>
      </w:r>
      <w:r>
        <w:rPr>
          <w:rFonts w:hint="eastAsia" w:ascii="宋体" w:hAnsi="宋体" w:cs="宋体"/>
          <w:b/>
          <w:bCs/>
          <w:color w:val="000000" w:themeColor="text1"/>
          <w:sz w:val="28"/>
          <w:szCs w:val="28"/>
          <w:highlight w:val="none"/>
          <w:u w:val="single"/>
          <w14:textFill>
            <w14:solidFill>
              <w14:schemeClr w14:val="tx1"/>
            </w14:solidFill>
          </w14:textFill>
        </w:rPr>
        <w:t xml:space="preserve"> </w:t>
      </w:r>
      <w:r>
        <w:rPr>
          <w:rFonts w:hint="eastAsia" w:ascii="宋体" w:hAnsi="宋体" w:cs="宋体"/>
          <w:b/>
          <w:bCs/>
          <w:color w:val="000000" w:themeColor="text1"/>
          <w:sz w:val="28"/>
          <w:szCs w:val="28"/>
          <w:highlight w:val="none"/>
          <w:u w:val="single"/>
          <w:lang w:val="en-US" w:eastAsia="zh-CN"/>
          <w14:textFill>
            <w14:solidFill>
              <w14:schemeClr w14:val="tx1"/>
            </w14:solidFill>
          </w14:textFill>
        </w:rPr>
        <w:t xml:space="preserve">                    </w:t>
      </w:r>
      <w:r>
        <w:rPr>
          <w:rFonts w:hint="eastAsia" w:ascii="宋体" w:hAnsi="宋体" w:cs="宋体"/>
          <w:b/>
          <w:bCs/>
          <w:color w:val="000000" w:themeColor="text1"/>
          <w:sz w:val="28"/>
          <w:szCs w:val="28"/>
          <w:highlight w:val="none"/>
          <w14:textFill>
            <w14:solidFill>
              <w14:schemeClr w14:val="tx1"/>
            </w14:solidFill>
          </w14:textFill>
        </w:rPr>
        <w:t xml:space="preserve">      </w:t>
      </w:r>
    </w:p>
    <w:p w14:paraId="69AA6CBF">
      <w:pPr>
        <w:ind w:left="2246" w:leftChars="266" w:hanging="1687" w:hangingChars="600"/>
        <w:rPr>
          <w:rFonts w:hint="eastAsia" w:ascii="宋体" w:hAnsi="宋体" w:cs="宋体"/>
          <w:b/>
          <w:bCs/>
          <w:color w:val="000000" w:themeColor="text1"/>
          <w:sz w:val="28"/>
          <w:szCs w:val="28"/>
          <w:highlight w:val="none"/>
          <w:u w:val="singl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 xml:space="preserve">甲    方： </w:t>
      </w:r>
      <w:r>
        <w:rPr>
          <w:rFonts w:hint="eastAsia" w:ascii="宋体" w:hAnsi="宋体" w:cs="宋体"/>
          <w:b/>
          <w:bCs/>
          <w:color w:val="000000" w:themeColor="text1"/>
          <w:sz w:val="28"/>
          <w:szCs w:val="28"/>
          <w:highlight w:val="none"/>
          <w:u w:val="single"/>
          <w14:textFill>
            <w14:solidFill>
              <w14:schemeClr w14:val="tx1"/>
            </w14:solidFill>
          </w14:textFill>
        </w:rPr>
        <w:t>陕西工业职业技术学院</w:t>
      </w:r>
    </w:p>
    <w:p w14:paraId="06F9083F">
      <w:pPr>
        <w:ind w:left="2246" w:leftChars="266" w:hanging="1687" w:hangingChars="600"/>
        <w:rPr>
          <w:rFonts w:hint="eastAsia"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 xml:space="preserve">乙    方： </w:t>
      </w:r>
      <w:r>
        <w:rPr>
          <w:rFonts w:hint="eastAsia" w:ascii="宋体" w:hAnsi="宋体" w:cs="宋体"/>
          <w:b/>
          <w:bCs/>
          <w:color w:val="000000" w:themeColor="text1"/>
          <w:sz w:val="28"/>
          <w:szCs w:val="28"/>
          <w:highlight w:val="none"/>
          <w:u w:val="single"/>
          <w:lang w:val="en-US" w:eastAsia="zh-CN"/>
          <w14:textFill>
            <w14:solidFill>
              <w14:schemeClr w14:val="tx1"/>
            </w14:solidFill>
          </w14:textFill>
        </w:rPr>
        <w:t xml:space="preserve">                    </w:t>
      </w:r>
      <w:r>
        <w:rPr>
          <w:rFonts w:hint="eastAsia" w:ascii="宋体" w:hAnsi="宋体" w:cs="宋体"/>
          <w:b/>
          <w:bCs/>
          <w:color w:val="000000" w:themeColor="text1"/>
          <w:sz w:val="28"/>
          <w:szCs w:val="28"/>
          <w:highlight w:val="none"/>
          <w:u w:val="single"/>
          <w14:textFill>
            <w14:solidFill>
              <w14:schemeClr w14:val="tx1"/>
            </w14:solidFill>
          </w14:textFill>
        </w:rPr>
        <w:t xml:space="preserve"> </w:t>
      </w:r>
    </w:p>
    <w:p w14:paraId="6B3B42A1">
      <w:pPr>
        <w:ind w:firstLine="480"/>
        <w:rPr>
          <w:color w:val="000000" w:themeColor="text1"/>
          <w:sz w:val="24"/>
          <w14:textFill>
            <w14:solidFill>
              <w14:schemeClr w14:val="tx1"/>
            </w14:solidFill>
          </w14:textFill>
        </w:rPr>
        <w:sectPr>
          <w:footerReference r:id="rId5" w:type="default"/>
          <w:pgSz w:w="11907" w:h="16839"/>
          <w:pgMar w:top="1440" w:right="1080" w:bottom="1440" w:left="1080" w:header="1179" w:footer="1055" w:gutter="0"/>
          <w:cols w:space="720" w:num="1"/>
        </w:sectPr>
      </w:pPr>
    </w:p>
    <w:p w14:paraId="18E81479">
      <w:pPr>
        <w:pStyle w:val="4"/>
        <w:spacing w:line="358" w:lineRule="auto"/>
        <w:ind w:firstLine="0" w:firstLineChars="0"/>
        <w:rPr>
          <w:color w:val="000000" w:themeColor="text1"/>
          <w14:textFill>
            <w14:solidFill>
              <w14:schemeClr w14:val="tx1"/>
            </w14:solidFill>
          </w14:textFill>
        </w:rPr>
      </w:pPr>
    </w:p>
    <w:p w14:paraId="3AD130E4">
      <w:pPr>
        <w:ind w:firstLine="480"/>
        <w:jc w:val="center"/>
        <w:rPr>
          <w:rFonts w:hint="eastAsia" w:asciiTheme="minorEastAsia" w:hAnsiTheme="minorEastAsia" w:eastAsiaTheme="minorEastAsia" w:cstheme="minorEastAsia"/>
          <w:b/>
          <w:bCs/>
          <w:color w:val="000000" w:themeColor="text1"/>
          <w:sz w:val="24"/>
          <w14:textFill>
            <w14:solidFill>
              <w14:schemeClr w14:val="tx1"/>
            </w14:solidFill>
          </w14:textFill>
        </w:rPr>
      </w:pPr>
      <w:r>
        <w:rPr>
          <w:rFonts w:hint="eastAsia" w:asciiTheme="minorEastAsia" w:hAnsiTheme="minorEastAsia" w:eastAsiaTheme="minorEastAsia" w:cstheme="minorEastAsia"/>
          <w:b/>
          <w:bCs/>
          <w:color w:val="000000" w:themeColor="text1"/>
          <w:sz w:val="24"/>
          <w14:textFill>
            <w14:solidFill>
              <w14:schemeClr w14:val="tx1"/>
            </w14:solidFill>
          </w14:textFill>
        </w:rPr>
        <w:t>采购合同</w:t>
      </w:r>
    </w:p>
    <w:p w14:paraId="4A7D7CB2">
      <w:pPr>
        <w:pStyle w:val="2"/>
        <w:rPr>
          <w:rFonts w:hint="eastAsia"/>
          <w:color w:val="000000" w:themeColor="text1"/>
          <w14:textFill>
            <w14:solidFill>
              <w14:schemeClr w14:val="tx1"/>
            </w14:solidFill>
          </w14:textFill>
        </w:rPr>
      </w:pPr>
    </w:p>
    <w:p w14:paraId="1B8F673F">
      <w:pPr>
        <w:ind w:firstLine="480"/>
        <w:rPr>
          <w:rFonts w:hint="eastAsia" w:asciiTheme="minorEastAsia" w:hAnsiTheme="minorEastAsia" w:eastAsiaTheme="minorEastAsia" w:cstheme="minorEastAsia"/>
          <w:b/>
          <w:bCs/>
          <w:color w:val="000000" w:themeColor="text1"/>
          <w:sz w:val="24"/>
          <w14:textFill>
            <w14:solidFill>
              <w14:schemeClr w14:val="tx1"/>
            </w14:solidFill>
          </w14:textFill>
        </w:rPr>
      </w:pPr>
      <w:r>
        <w:rPr>
          <w:rFonts w:hint="eastAsia" w:asciiTheme="minorEastAsia" w:hAnsiTheme="minorEastAsia" w:eastAsiaTheme="minorEastAsia" w:cstheme="minorEastAsia"/>
          <w:b/>
          <w:bCs/>
          <w:color w:val="000000" w:themeColor="text1"/>
          <w:sz w:val="24"/>
          <w14:textFill>
            <w14:solidFill>
              <w14:schemeClr w14:val="tx1"/>
            </w14:solidFill>
          </w14:textFill>
        </w:rPr>
        <w:t xml:space="preserve">甲方： </w:t>
      </w:r>
      <w:r>
        <w:rPr>
          <w:rFonts w:hint="eastAsia" w:asciiTheme="minorEastAsia" w:hAnsiTheme="minorEastAsia" w:eastAsiaTheme="minorEastAsia" w:cstheme="minorEastAsia"/>
          <w:b/>
          <w:bCs/>
          <w:color w:val="000000" w:themeColor="text1"/>
          <w:sz w:val="24"/>
          <w:u w:val="single"/>
          <w14:textFill>
            <w14:solidFill>
              <w14:schemeClr w14:val="tx1"/>
            </w14:solidFill>
          </w14:textFill>
        </w:rPr>
        <w:t>陕西工业职业技术学院</w:t>
      </w:r>
    </w:p>
    <w:p w14:paraId="54401353">
      <w:pPr>
        <w:ind w:firstLine="480"/>
        <w:rPr>
          <w:rFonts w:hint="default" w:asciiTheme="minorEastAsia" w:hAnsiTheme="minorEastAsia" w:eastAsiaTheme="minorEastAsia" w:cstheme="minorEastAsia"/>
          <w:b/>
          <w:bCs/>
          <w:color w:val="000000" w:themeColor="text1"/>
          <w:sz w:val="24"/>
          <w:u w:val="singl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14:textFill>
            <w14:solidFill>
              <w14:schemeClr w14:val="tx1"/>
            </w14:solidFill>
          </w14:textFill>
        </w:rPr>
        <w:t xml:space="preserve">乙方： </w:t>
      </w:r>
      <w:r>
        <w:rPr>
          <w:rFonts w:hint="eastAsia" w:asciiTheme="minorEastAsia" w:hAnsiTheme="minorEastAsia" w:eastAsiaTheme="minorEastAsia" w:cstheme="minorEastAsia"/>
          <w:b/>
          <w:bCs/>
          <w:color w:val="000000" w:themeColor="text1"/>
          <w:sz w:val="24"/>
          <w:u w:val="single"/>
          <w:lang w:val="en-US" w:eastAsia="zh-CN"/>
          <w14:textFill>
            <w14:solidFill>
              <w14:schemeClr w14:val="tx1"/>
            </w14:solidFill>
          </w14:textFill>
        </w:rPr>
        <w:t xml:space="preserve">                    </w:t>
      </w:r>
    </w:p>
    <w:p w14:paraId="3AEAAA5B">
      <w:pPr>
        <w:spacing w:line="520" w:lineRule="exact"/>
        <w:ind w:firstLine="48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甲方与乙方依据《中华人民共和国民法典》及其他有关法律法规，遵循平等、自愿、公平和诚实信用的原则，甲、乙双方就202</w:t>
      </w:r>
      <w:r>
        <w:rPr>
          <w:rFonts w:hint="eastAsia" w:ascii="宋体" w:hAnsi="宋体" w:cs="宋体"/>
          <w:color w:val="000000" w:themeColor="text1"/>
          <w:sz w:val="24"/>
          <w:highlight w:val="none"/>
          <w:lang w:val="en-US" w:eastAsia="zh-CN"/>
          <w14:textFill>
            <w14:solidFill>
              <w14:schemeClr w14:val="tx1"/>
            </w14:solidFill>
          </w14:textFill>
        </w:rPr>
        <w:t>5</w:t>
      </w:r>
      <w:r>
        <w:rPr>
          <w:rFonts w:hint="eastAsia" w:ascii="宋体" w:hAnsi="宋体" w:eastAsia="宋体" w:cs="宋体"/>
          <w:color w:val="000000" w:themeColor="text1"/>
          <w:sz w:val="24"/>
          <w:highlight w:val="none"/>
          <w14:textFill>
            <w14:solidFill>
              <w14:schemeClr w14:val="tx1"/>
            </w14:solidFill>
          </w14:textFill>
        </w:rPr>
        <w:t>年度图书馆纸质资源采购项目</w:t>
      </w:r>
      <w:r>
        <w:rPr>
          <w:rFonts w:hint="eastAsia" w:ascii="宋体" w:hAnsi="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highlight w:val="none"/>
          <w:u w:val="single"/>
          <w:lang w:val="en-US" w:eastAsia="zh-CN"/>
          <w14:textFill>
            <w14:solidFill>
              <w14:schemeClr w14:val="tx1"/>
            </w14:solidFill>
          </w14:textFill>
        </w:rPr>
        <w:t>（项目名称＋包号）</w:t>
      </w:r>
      <w:r>
        <w:rPr>
          <w:rFonts w:hint="eastAsia" w:ascii="宋体" w:hAnsi="宋体" w:eastAsia="宋体" w:cs="宋体"/>
          <w:color w:val="000000" w:themeColor="text1"/>
          <w:sz w:val="24"/>
          <w:highlight w:val="none"/>
          <w14:textFill>
            <w14:solidFill>
              <w14:schemeClr w14:val="tx1"/>
            </w14:solidFill>
          </w14:textFill>
        </w:rPr>
        <w:t>相关事项达成一致意见，订立本合同。</w:t>
      </w:r>
    </w:p>
    <w:p w14:paraId="2160E1C9">
      <w:pPr>
        <w:ind w:firstLine="0" w:firstLineChars="0"/>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一、项目范围</w:t>
      </w:r>
    </w:p>
    <w:p w14:paraId="1386A4A9">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202</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4"/>
          <w14:textFill>
            <w14:solidFill>
              <w14:schemeClr w14:val="tx1"/>
            </w14:solidFill>
          </w14:textFill>
        </w:rPr>
        <w:t>年度图书馆纸质资源采购项目</w:t>
      </w:r>
      <w:r>
        <w:rPr>
          <w:rFonts w:hint="eastAsia" w:asciiTheme="minorEastAsia" w:hAnsiTheme="minorEastAsia" w:eastAsiaTheme="minorEastAsia" w:cstheme="minorEastAsia"/>
          <w:color w:val="000000" w:themeColor="text1"/>
          <w:sz w:val="24"/>
          <w:u w:val="single"/>
          <w:lang w:val="en-US" w:eastAsia="zh-CN"/>
          <w14:textFill>
            <w14:solidFill>
              <w14:schemeClr w14:val="tx1"/>
            </w14:solidFill>
          </w14:textFill>
        </w:rPr>
        <w:t xml:space="preserve">  </w:t>
      </w:r>
      <w:r>
        <w:rPr>
          <w:rFonts w:hint="eastAsia" w:ascii="宋体" w:hAnsi="宋体" w:cs="宋体"/>
          <w:color w:val="000000" w:themeColor="text1"/>
          <w:sz w:val="24"/>
          <w:highlight w:val="none"/>
          <w:u w:val="single"/>
          <w:lang w:val="en-US" w:eastAsia="zh-CN"/>
          <w14:textFill>
            <w14:solidFill>
              <w14:schemeClr w14:val="tx1"/>
            </w14:solidFill>
          </w14:textFill>
        </w:rPr>
        <w:t xml:space="preserve">    （项目名称＋包号）</w:t>
      </w:r>
      <w:r>
        <w:rPr>
          <w:rFonts w:hint="eastAsia" w:asciiTheme="minorEastAsia" w:hAnsiTheme="minorEastAsia" w:eastAsiaTheme="minorEastAsia" w:cstheme="minorEastAsia"/>
          <w:color w:val="000000" w:themeColor="text1"/>
          <w:sz w:val="24"/>
          <w14:textFill>
            <w14:solidFill>
              <w14:schemeClr w14:val="tx1"/>
            </w14:solidFill>
          </w14:textFill>
        </w:rPr>
        <w:t>的招标文件、澄清文件及采购合同所涵盖的全部内容。</w:t>
      </w:r>
    </w:p>
    <w:p w14:paraId="34DA5756">
      <w:pPr>
        <w:ind w:firstLine="0" w:firstLineChars="0"/>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二、交货期、交货地点、质量要求及质保期</w:t>
      </w:r>
    </w:p>
    <w:p w14:paraId="5F7CB49E">
      <w:pPr>
        <w:ind w:firstLine="480"/>
        <w:rPr>
          <w:rFonts w:hint="eastAsia"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交货期：</w:t>
      </w:r>
      <w:r>
        <w:rPr>
          <w:rFonts w:hint="eastAsia" w:asciiTheme="minorEastAsia" w:hAnsiTheme="minorEastAsia" w:eastAsiaTheme="minorEastAsia" w:cstheme="minorEastAsia"/>
          <w:color w:val="auto"/>
          <w:sz w:val="24"/>
          <w:u w:val="single"/>
        </w:rPr>
        <w:t>签订合同之日起至202</w:t>
      </w:r>
      <w:r>
        <w:rPr>
          <w:rFonts w:hint="eastAsia" w:asciiTheme="minorEastAsia" w:hAnsiTheme="minorEastAsia" w:eastAsiaTheme="minorEastAsia" w:cstheme="minorEastAsia"/>
          <w:color w:val="auto"/>
          <w:sz w:val="24"/>
          <w:u w:val="single"/>
          <w:lang w:val="en-US" w:eastAsia="zh-CN"/>
        </w:rPr>
        <w:t>5</w:t>
      </w:r>
      <w:r>
        <w:rPr>
          <w:rFonts w:hint="eastAsia" w:asciiTheme="minorEastAsia" w:hAnsiTheme="minorEastAsia" w:eastAsiaTheme="minorEastAsia" w:cstheme="minorEastAsia"/>
          <w:color w:val="auto"/>
          <w:sz w:val="24"/>
          <w:u w:val="single"/>
        </w:rPr>
        <w:t>年</w:t>
      </w:r>
      <w:r>
        <w:rPr>
          <w:rFonts w:hint="eastAsia" w:asciiTheme="minorEastAsia" w:hAnsiTheme="minorEastAsia" w:eastAsiaTheme="minorEastAsia" w:cstheme="minorEastAsia"/>
          <w:color w:val="auto"/>
          <w:sz w:val="24"/>
          <w:u w:val="single"/>
          <w:lang w:val="en-US" w:eastAsia="zh-CN"/>
        </w:rPr>
        <w:t>12</w:t>
      </w:r>
      <w:r>
        <w:rPr>
          <w:rFonts w:hint="eastAsia" w:asciiTheme="minorEastAsia" w:hAnsiTheme="minorEastAsia" w:eastAsiaTheme="minorEastAsia" w:cstheme="minorEastAsia"/>
          <w:color w:val="auto"/>
          <w:sz w:val="24"/>
          <w:u w:val="single"/>
        </w:rPr>
        <w:t>月</w:t>
      </w:r>
      <w:r>
        <w:rPr>
          <w:rFonts w:hint="eastAsia" w:asciiTheme="minorEastAsia" w:hAnsiTheme="minorEastAsia" w:eastAsiaTheme="minorEastAsia" w:cstheme="minorEastAsia"/>
          <w:color w:val="auto"/>
          <w:sz w:val="24"/>
          <w:u w:val="single"/>
          <w:lang w:val="en-US" w:eastAsia="zh-CN"/>
        </w:rPr>
        <w:t>05</w:t>
      </w:r>
      <w:r>
        <w:rPr>
          <w:rFonts w:hint="eastAsia" w:asciiTheme="minorEastAsia" w:hAnsiTheme="minorEastAsia" w:eastAsiaTheme="minorEastAsia" w:cstheme="minorEastAsia"/>
          <w:color w:val="auto"/>
          <w:sz w:val="24"/>
          <w:u w:val="single"/>
        </w:rPr>
        <w:t>日</w:t>
      </w:r>
      <w:r>
        <w:rPr>
          <w:rFonts w:hint="eastAsia" w:asciiTheme="minorEastAsia" w:hAnsiTheme="minorEastAsia" w:eastAsiaTheme="minorEastAsia" w:cstheme="minorEastAsia"/>
          <w:color w:val="auto"/>
          <w:sz w:val="24"/>
          <w:u w:val="none"/>
          <w:lang w:eastAsia="zh-CN"/>
        </w:rPr>
        <w:t>；</w:t>
      </w:r>
    </w:p>
    <w:p w14:paraId="2BA4D42A">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交货地点：</w:t>
      </w:r>
      <w:r>
        <w:rPr>
          <w:rFonts w:hint="eastAsia" w:ascii="宋体" w:hAnsi="宋体" w:cs="宋体"/>
          <w:color w:val="000000" w:themeColor="text1"/>
          <w:sz w:val="24"/>
          <w:highlight w:val="none"/>
          <w:u w:val="single"/>
          <w:lang w:val="en-US" w:eastAsia="zh-CN"/>
          <w14:textFill>
            <w14:solidFill>
              <w14:schemeClr w14:val="tx1"/>
            </w14:solidFill>
          </w14:textFill>
        </w:rPr>
        <w:t>陕西工业职业技术学院</w:t>
      </w:r>
      <w:r>
        <w:rPr>
          <w:rFonts w:hint="eastAsia" w:ascii="宋体" w:hAnsi="宋体" w:cs="宋体"/>
          <w:color w:val="000000" w:themeColor="text1"/>
          <w:sz w:val="24"/>
          <w:highlight w:val="none"/>
          <w:u w:val="single"/>
          <w14:textFill>
            <w14:solidFill>
              <w14:schemeClr w14:val="tx1"/>
            </w14:solidFill>
          </w14:textFill>
        </w:rPr>
        <w:t>指定地点</w:t>
      </w:r>
      <w:r>
        <w:rPr>
          <w:rFonts w:hint="eastAsia" w:asciiTheme="minorEastAsia" w:hAnsiTheme="minorEastAsia" w:eastAsiaTheme="minorEastAsia" w:cstheme="minorEastAsia"/>
          <w:color w:val="000000" w:themeColor="text1"/>
          <w:sz w:val="24"/>
          <w14:textFill>
            <w14:solidFill>
              <w14:schemeClr w14:val="tx1"/>
            </w14:solidFill>
          </w14:textFill>
        </w:rPr>
        <w:t>；</w:t>
      </w:r>
    </w:p>
    <w:p w14:paraId="5D27D717">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质量要求：</w:t>
      </w:r>
      <w:r>
        <w:rPr>
          <w:rFonts w:hint="eastAsia" w:asciiTheme="minorEastAsia" w:hAnsiTheme="minorEastAsia" w:eastAsiaTheme="minorEastAsia" w:cstheme="minorEastAsia"/>
          <w:color w:val="000000" w:themeColor="text1"/>
          <w:sz w:val="24"/>
          <w:u w:val="single"/>
          <w14:textFill>
            <w14:solidFill>
              <w14:schemeClr w14:val="tx1"/>
            </w14:solidFill>
          </w14:textFill>
        </w:rPr>
        <w:t xml:space="preserve"> 质量达到现行合格标准，符合国家、行业、地方规定的质量和安全标准要求</w:t>
      </w:r>
      <w:r>
        <w:rPr>
          <w:rFonts w:hint="eastAsia" w:asciiTheme="minorEastAsia" w:hAnsiTheme="minorEastAsia" w:eastAsiaTheme="minorEastAsia" w:cstheme="minorEastAsia"/>
          <w:color w:val="000000" w:themeColor="text1"/>
          <w:sz w:val="24"/>
          <w14:textFill>
            <w14:solidFill>
              <w14:schemeClr w14:val="tx1"/>
            </w14:solidFill>
          </w14:textFill>
        </w:rPr>
        <w:t>；</w:t>
      </w:r>
    </w:p>
    <w:p w14:paraId="5C5AB1EE">
      <w:pPr>
        <w:ind w:firstLine="480" w:firstLineChars="200"/>
        <w:rPr>
          <w:rFonts w:hint="default" w:ascii="宋体" w:hAnsi="宋体" w:cs="宋体" w:eastAsiaTheme="minorEastAsia"/>
          <w:b/>
          <w:bCs/>
          <w:color w:val="000000" w:themeColor="text1"/>
          <w:sz w:val="24"/>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质保期：</w:t>
      </w:r>
      <w:r>
        <w:rPr>
          <w:rFonts w:hint="eastAsia" w:asciiTheme="minorEastAsia" w:hAnsiTheme="minorEastAsia" w:eastAsiaTheme="minorEastAsia" w:cs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u w:val="none"/>
          <w:lang w:val="en-US" w:eastAsia="zh-CN"/>
          <w14:textFill>
            <w14:solidFill>
              <w14:schemeClr w14:val="tx1"/>
            </w14:solidFill>
          </w14:textFill>
        </w:rPr>
        <w:t>年</w:t>
      </w:r>
    </w:p>
    <w:p w14:paraId="7C348B6A">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合同协议书</w:t>
      </w:r>
      <w:bookmarkStart w:id="3" w:name="_GoBack"/>
      <w:bookmarkEnd w:id="3"/>
    </w:p>
    <w:p w14:paraId="71D03708">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成交通知书</w:t>
      </w:r>
    </w:p>
    <w:p w14:paraId="3D57C3EE">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招标文件及相关补遗文件</w:t>
      </w:r>
    </w:p>
    <w:p w14:paraId="0DDE8C2C">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投标函及投标函附录</w:t>
      </w:r>
    </w:p>
    <w:p w14:paraId="6FEFD6AB">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技术标准、规范。</w:t>
      </w:r>
    </w:p>
    <w:p w14:paraId="28B7D3D0">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其他合同文件</w:t>
      </w:r>
    </w:p>
    <w:p w14:paraId="6DE86BBA">
      <w:pPr>
        <w:ind w:firstLine="0" w:firstLineChars="0"/>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四、合同价款、结算与支付</w:t>
      </w:r>
    </w:p>
    <w:p w14:paraId="223390FD">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1.本合同固定总价合同</w:t>
      </w:r>
    </w:p>
    <w:p w14:paraId="7FA5F941">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本合同含税价款总价（暂定）：人民币大写：</w:t>
      </w:r>
      <w:r>
        <w:rPr>
          <w:rFonts w:hint="eastAsia" w:asciiTheme="minorEastAsia" w:hAnsiTheme="minorEastAsia" w:eastAsiaTheme="minorEastAsia" w:cs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14:textFill>
            <w14:solidFill>
              <w14:schemeClr w14:val="tx1"/>
            </w14:solidFill>
          </w14:textFill>
        </w:rPr>
        <w:t>万元整 （RMB</w:t>
      </w:r>
      <w:r>
        <w:rPr>
          <w:rFonts w:hint="eastAsia" w:asciiTheme="minorEastAsia" w:hAnsiTheme="minorEastAsia" w:eastAsiaTheme="minorEastAsia" w:cs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u w:val="single"/>
          <w14:textFill>
            <w14:solidFill>
              <w14:schemeClr w14:val="tx1"/>
            </w14:solidFill>
          </w14:textFill>
        </w:rPr>
        <w:t>.00</w:t>
      </w:r>
      <w:r>
        <w:rPr>
          <w:rFonts w:hint="eastAsia" w:asciiTheme="minorEastAsia" w:hAnsiTheme="minorEastAsia" w:eastAsiaTheme="minorEastAsia" w:cstheme="minorEastAsia"/>
          <w:color w:val="000000" w:themeColor="text1"/>
          <w:sz w:val="24"/>
          <w14:textFill>
            <w14:solidFill>
              <w14:schemeClr w14:val="tx1"/>
            </w14:solidFill>
          </w14:textFill>
        </w:rPr>
        <w:t>），最终应按照甲方书面验收合格图书的实洋价进行结算。该总价包括但不限于：人工费、材料费（材质要求符合国家相关标准）、包装、运输、仓储、保管、装卸（卸货至甲方指定地点）、保险、税金、利润、运杂费（含保险）、措施费、市场价格风险、免费全加工服务（图书加工中涉及到的RFID芯片、条形码、磁条、胶带等所有材料由投标人按学校要求的规格及质量免费提供）及新编图书按图书馆要求免费上架服务，社会干扰因素排除费用在内等妥善履行本合同所需的一切费用，除此费用外，甲方无需支付任何其他费用。</w:t>
      </w:r>
    </w:p>
    <w:tbl>
      <w:tblPr>
        <w:tblStyle w:val="8"/>
        <w:tblpPr w:leftFromText="180" w:rightFromText="180" w:vertAnchor="text" w:horzAnchor="page" w:tblpX="585" w:tblpY="-142"/>
        <w:tblOverlap w:val="never"/>
        <w:tblW w:w="1042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51"/>
        <w:gridCol w:w="1579"/>
        <w:gridCol w:w="1725"/>
        <w:gridCol w:w="4466"/>
      </w:tblGrid>
      <w:tr w14:paraId="5567FF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7" w:hRule="atLeast"/>
        </w:trPr>
        <w:tc>
          <w:tcPr>
            <w:tcW w:w="2651" w:type="dxa"/>
            <w:vAlign w:val="center"/>
          </w:tcPr>
          <w:p w14:paraId="016D2096">
            <w:pPr>
              <w:ind w:firstLine="0" w:firstLineChars="0"/>
              <w:jc w:val="center"/>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货物名称</w:t>
            </w:r>
          </w:p>
        </w:tc>
        <w:tc>
          <w:tcPr>
            <w:tcW w:w="1579" w:type="dxa"/>
            <w:vAlign w:val="center"/>
          </w:tcPr>
          <w:p w14:paraId="2544D907">
            <w:pPr>
              <w:ind w:firstLine="0" w:firstLineChars="0"/>
              <w:jc w:val="cente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码洋</w:t>
            </w:r>
          </w:p>
        </w:tc>
        <w:tc>
          <w:tcPr>
            <w:tcW w:w="1725" w:type="dxa"/>
            <w:vAlign w:val="center"/>
          </w:tcPr>
          <w:p w14:paraId="08E2C072">
            <w:pPr>
              <w:ind w:firstLine="0" w:firstLineChars="0"/>
              <w:jc w:val="center"/>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折扣</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率</w:t>
            </w:r>
            <w:r>
              <w:rPr>
                <w:rFonts w:hint="eastAsia" w:asciiTheme="minorEastAsia" w:hAnsiTheme="minorEastAsia" w:eastAsiaTheme="minorEastAsia" w:cstheme="minorEastAsia"/>
                <w:color w:val="000000" w:themeColor="text1"/>
                <w:sz w:val="24"/>
                <w14:textFill>
                  <w14:solidFill>
                    <w14:schemeClr w14:val="tx1"/>
                  </w14:solidFill>
                </w14:textFill>
              </w:rPr>
              <w:t>系数</w:t>
            </w:r>
          </w:p>
        </w:tc>
        <w:tc>
          <w:tcPr>
            <w:tcW w:w="4466" w:type="dxa"/>
            <w:vAlign w:val="center"/>
          </w:tcPr>
          <w:p w14:paraId="4487F9B9">
            <w:pPr>
              <w:ind w:firstLine="0" w:firstLineChars="0"/>
              <w:jc w:val="center"/>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实洋=码洋 *</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14:textFill>
                  <w14:solidFill>
                    <w14:schemeClr w14:val="tx1"/>
                  </w14:solidFill>
                </w14:textFill>
              </w:rPr>
              <w:t>折扣</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率</w:t>
            </w:r>
            <w:r>
              <w:rPr>
                <w:rFonts w:hint="eastAsia" w:asciiTheme="minorEastAsia" w:hAnsiTheme="minorEastAsia" w:eastAsiaTheme="minorEastAsia" w:cstheme="minorEastAsia"/>
                <w:color w:val="000000" w:themeColor="text1"/>
                <w:sz w:val="24"/>
                <w14:textFill>
                  <w14:solidFill>
                    <w14:schemeClr w14:val="tx1"/>
                  </w14:solidFill>
                </w14:textFill>
              </w:rPr>
              <w:t>系数）</w:t>
            </w:r>
          </w:p>
        </w:tc>
      </w:tr>
      <w:tr w14:paraId="2AA264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2" w:hRule="atLeast"/>
        </w:trPr>
        <w:tc>
          <w:tcPr>
            <w:tcW w:w="2651" w:type="dxa"/>
            <w:vAlign w:val="center"/>
          </w:tcPr>
          <w:p w14:paraId="4530201B">
            <w:pPr>
              <w:ind w:firstLine="0" w:firstLineChars="0"/>
              <w:jc w:val="center"/>
              <w:rPr>
                <w:rFonts w:hint="default" w:asciiTheme="minorEastAsia" w:hAnsiTheme="minorEastAsia" w:eastAsiaTheme="minorEastAsia" w:cstheme="minorEastAsia"/>
                <w:color w:val="000000" w:themeColor="text1"/>
                <w:sz w:val="24"/>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u w:val="single"/>
                <w:lang w:val="en-US" w:eastAsia="zh-CN"/>
                <w14:textFill>
                  <w14:solidFill>
                    <w14:schemeClr w14:val="tx1"/>
                  </w14:solidFill>
                </w14:textFill>
              </w:rPr>
              <w:t xml:space="preserve">  （项目名称＋包号）</w:t>
            </w:r>
          </w:p>
        </w:tc>
        <w:tc>
          <w:tcPr>
            <w:tcW w:w="1579" w:type="dxa"/>
            <w:vAlign w:val="center"/>
          </w:tcPr>
          <w:p w14:paraId="49E06978">
            <w:pPr>
              <w:ind w:firstLine="0" w:firstLineChars="0"/>
              <w:jc w:val="center"/>
              <w:rPr>
                <w:rFonts w:hint="eastAsia" w:asciiTheme="minorEastAsia" w:hAnsiTheme="minorEastAsia" w:eastAsiaTheme="minorEastAsia" w:cstheme="minorEastAsia"/>
                <w:color w:val="FF0000"/>
                <w:sz w:val="24"/>
              </w:rPr>
            </w:pPr>
          </w:p>
        </w:tc>
        <w:tc>
          <w:tcPr>
            <w:tcW w:w="1725" w:type="dxa"/>
            <w:vAlign w:val="center"/>
          </w:tcPr>
          <w:p w14:paraId="0FFD0010">
            <w:pPr>
              <w:ind w:firstLine="0" w:firstLineChars="0"/>
              <w:jc w:val="center"/>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w:t>
            </w:r>
          </w:p>
        </w:tc>
        <w:tc>
          <w:tcPr>
            <w:tcW w:w="4466" w:type="dxa"/>
            <w:vAlign w:val="center"/>
          </w:tcPr>
          <w:p w14:paraId="19AF23CE">
            <w:pPr>
              <w:ind w:firstLine="0" w:firstLineChars="0"/>
              <w:jc w:val="center"/>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14:textFill>
                  <w14:solidFill>
                    <w14:schemeClr w14:val="tx1"/>
                  </w14:solidFill>
                </w14:textFill>
              </w:rPr>
              <w:t>（元）</w:t>
            </w:r>
          </w:p>
        </w:tc>
      </w:tr>
    </w:tbl>
    <w:p w14:paraId="5B1F6F25">
      <w:pPr>
        <w:ind w:left="0" w:leftChars="0" w:firstLine="480" w:firstLineChars="20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2、支付方式 :</w:t>
      </w:r>
    </w:p>
    <w:p w14:paraId="753280B1">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合同款支付全部通过银行转账：</w:t>
      </w:r>
    </w:p>
    <w:p w14:paraId="13D3927A">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名     称：</w:t>
      </w:r>
      <w:r>
        <w:rPr>
          <w:rFonts w:hint="eastAsia" w:asciiTheme="minorEastAsia" w:hAnsiTheme="minorEastAsia" w:eastAsiaTheme="minorEastAsia" w:cs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u w:val="single"/>
          <w14:textFill>
            <w14:solidFill>
              <w14:schemeClr w14:val="tx1"/>
            </w14:solidFill>
          </w14:textFill>
        </w:rPr>
        <w:t xml:space="preserve">    </w:t>
      </w:r>
    </w:p>
    <w:p w14:paraId="1187ED20">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开  户 行：</w:t>
      </w:r>
      <w:r>
        <w:rPr>
          <w:rFonts w:hint="eastAsia" w:asciiTheme="minorEastAsia" w:hAnsiTheme="minorEastAsia" w:eastAsiaTheme="minorEastAsia" w:cs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14:textFill>
            <w14:solidFill>
              <w14:schemeClr w14:val="tx1"/>
            </w14:solidFill>
          </w14:textFill>
        </w:rPr>
        <w:t xml:space="preserve"> </w:t>
      </w:r>
    </w:p>
    <w:p w14:paraId="52E71378">
      <w:pPr>
        <w:ind w:firstLine="480"/>
        <w:rPr>
          <w:rFonts w:hint="eastAsia" w:asciiTheme="minorEastAsia" w:hAnsiTheme="minorEastAsia" w:eastAsiaTheme="minorEastAsia" w:cstheme="minorEastAsia"/>
          <w:color w:val="000000" w:themeColor="text1"/>
          <w:sz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账     号：</w:t>
      </w:r>
      <w:r>
        <w:rPr>
          <w:rFonts w:hint="eastAsia" w:asciiTheme="minorEastAsia" w:hAnsiTheme="minorEastAsia" w:eastAsiaTheme="minorEastAsia" w:cs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u w:val="single"/>
          <w14:textFill>
            <w14:solidFill>
              <w14:schemeClr w14:val="tx1"/>
            </w14:solidFill>
          </w14:textFill>
        </w:rPr>
        <w:t xml:space="preserve">       </w:t>
      </w:r>
    </w:p>
    <w:p w14:paraId="0FE60296">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乙方确认上述账户为合同履行期间乙方唯一收款账户，若因乙方提供账户错误或账户更 换导致乙方未收到款项的，由乙方承担一切责任。甲方支付款项到达乙方账户即视为甲方已妥善履行本合同项下全部付款义务。</w:t>
      </w:r>
    </w:p>
    <w:p w14:paraId="0ADDAD99">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2.1 付款方式:</w:t>
      </w:r>
    </w:p>
    <w:p w14:paraId="7C56EE03">
      <w:pPr>
        <w:ind w:firstLine="480"/>
        <w:rPr>
          <w:rFonts w:hint="eastAsia" w:asciiTheme="minorEastAsia" w:hAnsiTheme="minorEastAsia" w:eastAsiaTheme="minorEastAsia" w:cstheme="minorEastAsia"/>
          <w:color w:val="000000" w:themeColor="text1"/>
          <w:sz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 xml:space="preserve"> 付款条件说明： 在合同签订后，图书全部到馆，经加工、编目完成后进行初验。初验合格且无索赔争议后，初验合格之日起运行</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20天</w:t>
      </w:r>
      <w:r>
        <w:rPr>
          <w:rFonts w:hint="eastAsia" w:asciiTheme="minorEastAsia" w:hAnsiTheme="minorEastAsia" w:eastAsiaTheme="minorEastAsia" w:cstheme="minorEastAsia"/>
          <w:color w:val="000000" w:themeColor="text1"/>
          <w:sz w:val="24"/>
          <w14:textFill>
            <w14:solidFill>
              <w14:schemeClr w14:val="tx1"/>
            </w14:solidFill>
          </w14:textFill>
        </w:rPr>
        <w:t>组织终验， 终验合格后30日内，乙方在甲方处办理100%货款支付手续，达到付款条件起 30 日内，验收合格且无索赔争议后支付合同总金额的 100.00%（订购图书经甲方</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终</w:t>
      </w:r>
      <w:r>
        <w:rPr>
          <w:rFonts w:hint="eastAsia" w:asciiTheme="minorEastAsia" w:hAnsiTheme="minorEastAsia" w:eastAsiaTheme="minorEastAsia" w:cstheme="minorEastAsia"/>
          <w:color w:val="000000" w:themeColor="text1"/>
          <w:sz w:val="24"/>
          <w14:textFill>
            <w14:solidFill>
              <w14:schemeClr w14:val="tx1"/>
            </w14:solidFill>
          </w14:textFill>
        </w:rPr>
        <w:t>验合格后予以付款，付款金额以实际验收图书为准。乙方应履行其价格结算优惠承诺，提供合法正规的发票，并在发票上注明图书码洋、册数、销售折扣</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率</w:t>
      </w:r>
      <w:r>
        <w:rPr>
          <w:rFonts w:hint="eastAsia" w:asciiTheme="minorEastAsia" w:hAnsiTheme="minorEastAsia" w:eastAsiaTheme="minorEastAsia" w:cstheme="minorEastAsia"/>
          <w:color w:val="000000" w:themeColor="text1"/>
          <w:sz w:val="24"/>
          <w14:textFill>
            <w14:solidFill>
              <w14:schemeClr w14:val="tx1"/>
            </w14:solidFill>
          </w14:textFill>
        </w:rPr>
        <w:t>、实洋等项内容</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p>
    <w:p w14:paraId="4BD54300">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3．结算方式</w:t>
      </w:r>
    </w:p>
    <w:p w14:paraId="3B3A4AFE">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3.1 按照甲方最终书面验收确认图书的码洋价的</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14:textFill>
            <w14:solidFill>
              <w14:schemeClr w14:val="tx1"/>
            </w14:solidFill>
          </w14:textFill>
        </w:rPr>
        <w:t>折扣进行结算。</w:t>
      </w:r>
    </w:p>
    <w:p w14:paraId="1AE81F5B">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3.2 凡因乙方投标漏项、误报等导致的费用差异均由乙方自行承担，且必须按合同约定继续履行此部分合同内容，结算时不予调整。</w:t>
      </w:r>
    </w:p>
    <w:p w14:paraId="3A5886EA">
      <w:pPr>
        <w:ind w:firstLine="0" w:firstLineChars="0"/>
        <w:rPr>
          <w:rFonts w:hint="eastAsia"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五、权利与义务</w:t>
      </w:r>
    </w:p>
    <w:p w14:paraId="4580694C">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（一）甲方的权利与义务</w:t>
      </w:r>
    </w:p>
    <w:p w14:paraId="624A1300">
      <w:pPr>
        <w:ind w:firstLine="420"/>
        <w:jc w:val="left"/>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1、甲方应向乙方提供订购计划（包括ISBN号或教材名称、出版单位、作者等信息及订购数量）。</w:t>
      </w:r>
    </w:p>
    <w:p w14:paraId="3AA096C8">
      <w:pPr>
        <w:ind w:firstLine="420"/>
        <w:jc w:val="left"/>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2、甲方有权要求乙方供货的项目内容符合国家及同行业相关规范，符合国家验收标准能够通过国家验收及甲方书面验收。</w:t>
      </w:r>
    </w:p>
    <w:p w14:paraId="19F09E04">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3、甲方有权要求乙方配合甲方完成所采购项目内容的预验收工作以及正式验收工作。</w:t>
      </w:r>
    </w:p>
    <w:p w14:paraId="48F4A926">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4、甲方有权要求乙方提供的产品所涉及的第三方权利进行免责。</w:t>
      </w:r>
    </w:p>
    <w:p w14:paraId="4FEDEA00">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5、在乙方妥善履行本合同项下义务且付款节点届至的前提下，甲方有义务保证按合同所规定的内容及时间支付乙方相关费用。</w:t>
      </w:r>
    </w:p>
    <w:p w14:paraId="727B74EA">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6、甲方项目负责人为</w:t>
      </w:r>
      <w:r>
        <w:rPr>
          <w:rFonts w:hint="eastAsia" w:asciiTheme="minorEastAsia" w:hAnsiTheme="minorEastAsia" w:eastAsiaTheme="minorEastAsia" w:cs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u w:val="single"/>
          <w14:textFill>
            <w14:solidFill>
              <w14:schemeClr w14:val="tx1"/>
            </w14:solidFill>
          </w14:textFill>
        </w:rPr>
        <w:t>（手机：</w:t>
      </w:r>
      <w:r>
        <w:rPr>
          <w:rFonts w:hint="eastAsia" w:asciiTheme="minorEastAsia" w:hAnsiTheme="minorEastAsia" w:eastAsiaTheme="minorEastAsia" w:cs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14:textFill>
            <w14:solidFill>
              <w14:schemeClr w14:val="tx1"/>
            </w14:solidFill>
          </w14:textFill>
        </w:rPr>
        <w:t xml:space="preserve">                     </w:t>
      </w:r>
    </w:p>
    <w:p w14:paraId="62E8AA42">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7、乙方不能按甲方要求及时供货或未能通过甲方书面验收且未在甲方限定期间内完成整改的，甲方有单方解除合同的权利。解除合同的同时，甲方有权利与评标报告中排名第二的供应商签订新的供货合同。</w:t>
      </w:r>
    </w:p>
    <w:p w14:paraId="5B0197B8">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8、因乙方原因供货延误，给甲方造成损失或被第三方要求索赔的，乙方应全额承担，包括但不限于向第三方赔偿、行政罚款、处理纠纷产生的律师费、诉讼费、保全费及其他各项费用。</w:t>
      </w:r>
    </w:p>
    <w:p w14:paraId="7DC0E63C">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9、对乙方提供的货物，甲方有权随时进行审核，审核不合格的甲方有权要求乙方无条件更换并重新通过甲方审核，更换时间不能超过 24 小时。</w:t>
      </w:r>
    </w:p>
    <w:p w14:paraId="45152EF0">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（二） 乙方的权利与义务</w:t>
      </w:r>
    </w:p>
    <w:p w14:paraId="04181F71">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1、乙方应按本合同的规定供货，并保证产品全新、符合出厂标准规格、型号、数量、参数等与合同约定完全一致，无任何质量问题。</w:t>
      </w:r>
    </w:p>
    <w:p w14:paraId="43ED1753">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2、乙方有义务配合甲方参与项目的预验收、正式竣工验收工作，并确保所供货物符合本项目国家现行标准。</w:t>
      </w:r>
    </w:p>
    <w:p w14:paraId="6E963ADB">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3、乙方项目负责人为</w:t>
      </w:r>
      <w:r>
        <w:rPr>
          <w:rFonts w:hint="eastAsia" w:asciiTheme="minorEastAsia" w:hAnsiTheme="minorEastAsia" w:eastAsiaTheme="minorEastAsia" w:cs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u w:val="single"/>
          <w14:textFill>
            <w14:solidFill>
              <w14:schemeClr w14:val="tx1"/>
            </w14:solidFill>
          </w14:textFill>
        </w:rPr>
        <w:t xml:space="preserve"> （手机:  </w:t>
      </w:r>
      <w:r>
        <w:rPr>
          <w:rFonts w:hint="eastAsia" w:asciiTheme="minorEastAsia" w:hAnsiTheme="minorEastAsia" w:eastAsiaTheme="minorEastAsia" w:cs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14:textFill>
            <w14:solidFill>
              <w14:schemeClr w14:val="tx1"/>
            </w14:solidFill>
          </w14:textFill>
        </w:rPr>
        <w:t>。</w:t>
      </w:r>
    </w:p>
    <w:p w14:paraId="572B931D">
      <w:pPr>
        <w:ind w:firstLine="420"/>
        <w:jc w:val="left"/>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4、乙方必须按照订单的要求详细准确地制作送货清单（清单随货同行），并负责按时、保质、保量地送货上门，并按照甲方要求准确清点分类、加工、编目、入库和上架摆放整齐。</w:t>
      </w:r>
    </w:p>
    <w:p w14:paraId="69021DBE">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5、按照甲方要求配合验收工作。</w:t>
      </w:r>
    </w:p>
    <w:p w14:paraId="0611BBC8">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6、乙方产品进场时应充分了解甲方的现场各项管理标准文件，并在进场后全面服从甲方的管理制度、管理细则等。</w:t>
      </w:r>
    </w:p>
    <w:p w14:paraId="55E82EAC">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7、遵守招标文件及国家行业标准对产品有关规定，做好项目现场安全管理；协助甲方做好现场的安全保卫、防火防盗工作，确保项目顺利进行，如因乙方原因造成安全问题，因此所产生的所有责任和费用均由乙方承担；接受甲方现场管理人员的监督和检查，保证产品按时按质交付使用。</w:t>
      </w:r>
    </w:p>
    <w:p w14:paraId="09F50FD2">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8、按甲方指定地点将货物码放整齐，及时清运过程中产生的垃圾，保持现场整洁。</w:t>
      </w:r>
    </w:p>
    <w:p w14:paraId="729003A3">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9、遵守国家对交通、市容和实施过程中噪音的管理规定。</w:t>
      </w:r>
    </w:p>
    <w:p w14:paraId="46CD0F88">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10、乙方应在收到甲方订购清单后 15 日内完成备货，如有缺货等情况的，乙方应在12小时内以书面形式告知甲方，以便甲方及时协调处理。</w:t>
      </w:r>
    </w:p>
    <w:p w14:paraId="16C0EA83">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11、对于乙方明确无法按期供货的书籍或乙方逾期超过两日未送达的书籍，甲方有权从其他合法渠道另行订购，因此产生的相关费用及超出的费用由乙方承担。</w:t>
      </w:r>
    </w:p>
    <w:p w14:paraId="294DB519">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12、甲方因计划变动等原因需要调换、补缺或退货时，乙方应当在收到甲方通知后 24 小时内完成调换、补缺或者退货。</w:t>
      </w:r>
    </w:p>
    <w:p w14:paraId="64C4D24D">
      <w:pPr>
        <w:ind w:firstLine="0" w:firstLineChars="0"/>
        <w:rPr>
          <w:rFonts w:hint="eastAsia"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六、质量要求、技术标准</w:t>
      </w:r>
    </w:p>
    <w:p w14:paraId="7B79222D">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乙方必须保证提供的图书为国家正规出版社的正版图书，不得加入盗版图书及其它类型非法出版物。若出现有盗版或其它类型非法出版物，一经查实，甲方将拒付书款，终止合同。同时，乙方承担因此给甲方造成的所有经济损失和法律责任。</w:t>
      </w:r>
    </w:p>
    <w:p w14:paraId="583DDC64">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2、乙方所供图书必须与甲方提供的图书采购订单相符，不得更换或搭配未订购的图书，如果出现违例，超出订单以外的图书甲方将不予以付款。</w:t>
      </w:r>
    </w:p>
    <w:p w14:paraId="419741EF">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3、甲方在验收图书的过程中，如发现因出版信息、预定信息不完整造成的不适合本馆收藏的，及其他原因造成重订、错订等图书，乙方应保证在收到甲方通知后无条件退货并在 24 小时内办理完退货手续。因包装或运输过程造成的图书质量问题或损失，由乙方负责。乙方需派出人员驻校进行加工，并且费用自理。</w:t>
      </w:r>
    </w:p>
    <w:p w14:paraId="42A46951">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4、对于出现开胶、散页、倒装、缺页、污损等有质量问题的图书，无论加工与否，乙方须在 24 小时内无条件完成退换。</w:t>
      </w:r>
    </w:p>
    <w:p w14:paraId="5DD7C601">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5、服务期内出现的质量问题由乙方负责解决并承担所有费用。</w:t>
      </w:r>
    </w:p>
    <w:p w14:paraId="64BDB4C8">
      <w:pPr>
        <w:ind w:firstLine="0" w:firstLineChars="0"/>
        <w:rPr>
          <w:rFonts w:hint="eastAsia"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七、 运输及交货要求</w:t>
      </w:r>
    </w:p>
    <w:p w14:paraId="20A988F8">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1、乙方应当按照甲方的统一计划安排，保证按时、保质保量的将货物运送至甲方指定地点，并负责现场搬运、拆包、入库等。</w:t>
      </w:r>
    </w:p>
    <w:p w14:paraId="3EAA837F">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2、乙方应当按照国家标准及甲方要求以防水纸双层打包，因包装不当、防护措施不妥等引起的逾期交货责任、给甲方造成的所有损失及产生的相关费用均由乙方承担。</w:t>
      </w:r>
    </w:p>
    <w:p w14:paraId="0A8ED329">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乙方交付甲方的为正式出版社出版的书籍，不能有错页、缺页、漏页、倒装、污损、错误等情况，并完全满足合同约定要求。随书提供图书总清单一份和每包书清单一式两份，总清单上要注明订单号、批次号、本批书种数、册数、码洋，分包清单 注明该包书的码洋，书名、书号、定价、出版社、复本等详细信息。送书同时将本批书的编目 MARC 数据发送到甲方指定地方。图书在经甲方验收前发生的费用及毁损、灭失等一切风险均由乙方负责。</w:t>
      </w:r>
    </w:p>
    <w:p w14:paraId="37DAE653">
      <w:pPr>
        <w:ind w:firstLine="0" w:firstLineChars="0"/>
        <w:rPr>
          <w:rFonts w:hint="eastAsia"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八、交货地点</w:t>
      </w:r>
    </w:p>
    <w:p w14:paraId="09DCC426">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具体交货地点由甲方指定（运输及保险费、装卸费等与交货相关的全部费用由乙方承担）。</w:t>
      </w:r>
    </w:p>
    <w:p w14:paraId="6E279FC2">
      <w:pPr>
        <w:ind w:firstLine="0" w:firstLineChars="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同时，乙方承担图书交付甲方并经甲方书面终验通过前毁损、灭失、盗抢等所有风险。</w:t>
      </w:r>
    </w:p>
    <w:p w14:paraId="5E23A5F7">
      <w:pPr>
        <w:ind w:firstLine="0" w:firstLineChars="0"/>
        <w:rPr>
          <w:rFonts w:hint="eastAsia"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九、货物验收</w:t>
      </w:r>
    </w:p>
    <w:p w14:paraId="1BEFBB00">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1、乙方在发货之前，应对书籍质量、数量、规格等进行准确和全面检验，并提供书籍出版机构的原始单据、版权声明等。</w:t>
      </w:r>
    </w:p>
    <w:p w14:paraId="011B22E2">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甲方将在货物到达指定地点后现场组织验收，甲方的初步验收不作为甲方对乙方质量的认可，亦不作为付款依据。如果货物达不到国家的质量及企业标准或与投标时封存样品不符，甲方有权拒绝接收并要求乙方在限定期限内更换、补足。</w:t>
      </w:r>
    </w:p>
    <w:p w14:paraId="5F92D6FB">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乙方在货物到达甲方指定地点后，应安排专人或图书加工人员会同甲方一起对货物进行开包验收，验收过程中如出现开包后图书缺失或损坏等情况，乙方应当在24小时内予以补换或者退货，并承担逾期交货的违约责任。</w:t>
      </w:r>
    </w:p>
    <w:p w14:paraId="786E20AC">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4、在验收图书的过程中，如发现因出版信息、预定信息不完整造成的不适合本馆收藏的，及其他原因造成重订、错订等图书，乙方应无条件退货并在 24 小时内办理完退货手续。</w:t>
      </w:r>
    </w:p>
    <w:p w14:paraId="48BA38D9">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5、甲方对订购的书籍品种、数量、质量进行核对无误后入库。</w:t>
      </w:r>
    </w:p>
    <w:p w14:paraId="34282DCB">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6、对于出现开胶、散页、倒装、缺页、污损、模糊不清、开线等有质量问题的图书，无论加工与否，乙方承诺 24 小时内无条件补换或退货，并承担逾期交货的违约责任。</w:t>
      </w:r>
    </w:p>
    <w:p w14:paraId="7C5D1C7C">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7、货物经甲方验收不合格的，乙方必须在接到通知后 24 小时内完成补换或者退货并通过验收。如经补换后验收仍不合格的，甲方可单方解除合同并提出索赔。采购代理机构将把中标资格授予评审排序下一名的中标候选人，因此给甲方造成的全部损失由乙方承担。</w:t>
      </w:r>
    </w:p>
    <w:p w14:paraId="0BA9325A">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8、验收依据</w:t>
      </w:r>
    </w:p>
    <w:p w14:paraId="0563A055">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（1）合同文本及合同补充文件（条款）。</w:t>
      </w:r>
    </w:p>
    <w:p w14:paraId="3C7BF64A">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（2）招标文件。</w:t>
      </w:r>
    </w:p>
    <w:p w14:paraId="175F4B17">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（3）投标文件。</w:t>
      </w:r>
    </w:p>
    <w:p w14:paraId="24C08FCF">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（4）服务质量。</w:t>
      </w:r>
    </w:p>
    <w:p w14:paraId="7BC10046">
      <w:pPr>
        <w:ind w:firstLine="0" w:firstLineChars="0"/>
        <w:rPr>
          <w:rFonts w:hint="eastAsia"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十、售后服务</w:t>
      </w:r>
    </w:p>
    <w:p w14:paraId="051ACDC7">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1、该产品质保期两年，自全部货物经甲方书面验收合格之日起算。质保期内免费以旧换新（产生的所有费用由乙方承担）。</w:t>
      </w:r>
    </w:p>
    <w:p w14:paraId="7884AAE5">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2、乙方承诺免费及时提供全国各大出版社出版的最新图书目录信息，书目数据完整（包 括但不限于：ISBN、书名、作者、价格、读者对象、丛编、版本、开本、页码等详细信息），及时提供甲方需求的各种能体现甲方办学特色的专题采购书目。</w:t>
      </w:r>
    </w:p>
    <w:p w14:paraId="0577CFEF">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3、当甲方采购的图书出版实际价格比订单价格高出30%或ISBN和书名等信息与采访数据不符时，乙方承诺及时与甲方联系确认后再组织发货，否则，甲方有权拒收。</w:t>
      </w:r>
    </w:p>
    <w:p w14:paraId="12503CCC">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4、乙方承诺为甲方采购图书进行必要的查重工作。采购图书到达甲方后重复的，甲方有权要求乙方无条件退换。</w:t>
      </w:r>
    </w:p>
    <w:p w14:paraId="7D8B0E71">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5、正版保证：乙方对其所提供的图书终身保证正版，凡是在使用过程中发现盗版书籍，乙方及时更换，并且承担相应的赔偿，承担相应的法律责任。</w:t>
      </w:r>
    </w:p>
    <w:p w14:paraId="65B408B2">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6、质保期满后，乙方终身负责维护。因甲方故意造成的损坏，所涉及材料成本费用由甲方承担，乙方承诺不收取材料成本以外的其它费用。</w:t>
      </w:r>
    </w:p>
    <w:p w14:paraId="60F4F241">
      <w:pPr>
        <w:ind w:firstLine="0" w:firstLineChars="0"/>
        <w:rPr>
          <w:rFonts w:hint="eastAsia"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十一、保密条款及知识产权</w:t>
      </w:r>
    </w:p>
    <w:p w14:paraId="1ACDE13E">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双方承诺， 除非法律另有规定或双方一致同意，任何一方不得将本合同的内容向第三方透露，否则，应向对方承担相应的违约责任。</w:t>
      </w:r>
    </w:p>
    <w:p w14:paraId="52872155">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双方同意在本合同期限内或之后，</w:t>
      </w:r>
    </w:p>
    <w:p w14:paraId="08798284">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（1）只为本合同目的而使用属于对方的保密资料；</w:t>
      </w:r>
    </w:p>
    <w:p w14:paraId="063D9B92">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（2）在未得到对方书面同意之前，不将对方的保密资料披露给第三方；</w:t>
      </w:r>
    </w:p>
    <w:p w14:paraId="4B1AA295">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（3）如果披露方要求，接受方应立即将任何被要求退还的保密资料退还给披露方。本合同中，保密资料是指任何一方所有的与披露方现有的潜在的业务、运营或财 务状况直接或间接有关的书面、演示、电子、或其他形式的资料（包括：价格、市场 营销计划、客户名单、相关数据等），但不包括以下资料：</w:t>
      </w:r>
    </w:p>
    <w:p w14:paraId="6AA4C763">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（1）为公众所知的；</w:t>
      </w:r>
    </w:p>
    <w:p w14:paraId="131CF187">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（2）接受方通过没有保密义务的独立渠道合法获得的资料；</w:t>
      </w:r>
    </w:p>
    <w:p w14:paraId="29E2411A">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（3）接受方在本合同保密条款 签订之前已经知道的资料；</w:t>
      </w:r>
    </w:p>
    <w:p w14:paraId="3AE3A652">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（4）因法律行为（包括诉讼、仲裁等行为）和执行国家政策的需要进行披露的资料。</w:t>
      </w:r>
    </w:p>
    <w:p w14:paraId="53B3EEAE">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乙方承诺其向甲方提供的图书不侵犯任何第三方的知识产权、专有技术权、商业秘密权或其它任何权利。如因乙方原因，造成第三方向甲方提起诉讼或主张任何权利的，乙方承担全部费用并协助甲方处理纠纷。如因此给甲方造成损失，乙方赔偿甲方所遭受的全部直接和间接损失。</w:t>
      </w:r>
    </w:p>
    <w:p w14:paraId="0E6E9673">
      <w:pPr>
        <w:ind w:firstLine="0" w:firstLineChars="0"/>
        <w:rPr>
          <w:rFonts w:hint="eastAsia"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十二、违约责任</w:t>
      </w:r>
    </w:p>
    <w:p w14:paraId="1FCC43CE">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1、乙方向甲方提供的图书非盗版或其他非法印刷出版物，否则，由此造成的一切法律责任、不良影响均由乙方承担。如给甲方造成了经济损失，乙方应承担该批图书</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折扣后价款</w:t>
      </w:r>
      <w:r>
        <w:rPr>
          <w:rFonts w:hint="eastAsia" w:asciiTheme="minorEastAsia" w:hAnsiTheme="minorEastAsia" w:eastAsiaTheme="minorEastAsia" w:cstheme="minorEastAsia"/>
          <w:color w:val="000000" w:themeColor="text1"/>
          <w:sz w:val="24"/>
          <w14:textFill>
            <w14:solidFill>
              <w14:schemeClr w14:val="tx1"/>
            </w14:solidFill>
          </w14:textFill>
        </w:rPr>
        <w:t>2倍的违约金，并赔偿甲方的全部损失（包含但不限于罚款、赔偿款及甲方因此支付的诉讼费、律师费、公告费、保全费、交通费等）。同时，甲方有权拒付乙方的一切款项。</w:t>
      </w:r>
    </w:p>
    <w:p w14:paraId="30B8893B">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所图书刊出现任何质量问题，乙方应当无条件更换，乙方收到甲方通知后，拒绝更换的，甲方有权立即终止合同，拒付乙方的一切图书款，同时，乙方应当按照未更换图书价格两倍向甲方支付违约金，如因此给甲方造成损失的，承担赔偿责任。</w:t>
      </w:r>
    </w:p>
    <w:p w14:paraId="049A8B3E">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乙方如未能按照合同约定时间交付图书，每逾期一日，按每种（本）未到位图书总码洋的10％承担违约金；乙方逾期超过5日的，甲方有权解除合同，乙方除应当按照本次甲方订购图书总码洋的10%承担违约金外，还应承担因此给甲方造成的全部损失。</w:t>
      </w:r>
    </w:p>
    <w:p w14:paraId="43314C3D">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4、若因甲方临时急需图书，乙方收到甲方采购单后48小时内回复，并通过自身渠道采购，尽量保证2—6日确保到书入库。</w:t>
      </w:r>
    </w:p>
    <w:p w14:paraId="094FC6F8">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5、乙方应保证交付甲方的图书为正品，且享有完全的所有权及知识产权，因乙方权利瑕疵给甲方造成损失的，乙方承担全部赔偿责任，包括但不限于赔偿款、罚款、律师费、诉讼费、保全费及处理纠纷产生的全部费用。</w:t>
      </w:r>
    </w:p>
    <w:p w14:paraId="618AC341">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6、本合同签订后，乙方不得将本合同项下义务转交任何第三方完成或出现分包、转包等行为，一经发现，甲方有权解除合同。乙方应当按照合同总金额两倍向甲方支付违约金。</w:t>
      </w:r>
    </w:p>
    <w:p w14:paraId="388A40E6">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7、乙方违反保密义务的，按照合同总金额20%向甲方承担违约责任，造成甲方损失的，还应就甲方的实际损失承担赔偿责任。</w:t>
      </w:r>
    </w:p>
    <w:p w14:paraId="1533DEAB">
      <w:pPr>
        <w:ind w:firstLine="0" w:firstLineChars="0"/>
        <w:rPr>
          <w:rFonts w:hint="eastAsia"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十三、合同的解除及争议解决</w:t>
      </w:r>
    </w:p>
    <w:p w14:paraId="762137C1">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1、本合同履行期限内，乙方出现违反本合同合同解除条件的行为，甲方选择解除合同的， 解除通知到达乙方即发生法律效力,甲方可采取直接给付乙方的方式发出，乙方签收即意味着 通知到达乙方和生效；也可采用特快专递的方式发出，特快专递送达乙方即意味着该通知到达乙方和生效，乙方拒绝签收特快专递，经邮递人员注明收件人拒收的，该通知即时生效。</w:t>
      </w:r>
    </w:p>
    <w:p w14:paraId="3A0D9C0F">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2、甲方选择解除合同的，乙方应当在收到解除通知后三日内，返还甲方已支付款项并将教材自行拉回，逾期三日未拉走的，视为乙方放弃，甲方有权按照废品自行处置且不承担任何责任。</w:t>
      </w:r>
    </w:p>
    <w:p w14:paraId="7CC59CD8">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3、合同各方应本着诚信的态度及共同合作的精神，通过协商及谈判来努力解决由本合同 而产生的或与本合同有关（包括本合同项下某一特定货物买卖合同）的任何争议及不同意见。协商、谈判不能解决的，如任何一方通过诉讼解决由甲方所在地人民法院管辖。</w:t>
      </w:r>
    </w:p>
    <w:p w14:paraId="55B26841">
      <w:pPr>
        <w:ind w:firstLine="0" w:firstLineChars="0"/>
        <w:rPr>
          <w:rFonts w:hint="eastAsia"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十</w:t>
      </w:r>
      <w:r>
        <w:rPr>
          <w:rFonts w:hint="eastAsia" w:ascii="宋体" w:hAnsi="宋体" w:cs="宋体"/>
          <w:b/>
          <w:bCs/>
          <w:color w:val="000000" w:themeColor="text1"/>
          <w:sz w:val="24"/>
          <w:highlight w:val="none"/>
          <w:lang w:val="en-US" w:eastAsia="zh-CN"/>
          <w14:textFill>
            <w14:solidFill>
              <w14:schemeClr w14:val="tx1"/>
            </w14:solidFill>
          </w14:textFill>
        </w:rPr>
        <w:t>四</w:t>
      </w:r>
      <w:r>
        <w:rPr>
          <w:rFonts w:hint="eastAsia" w:ascii="宋体" w:hAnsi="宋体" w:cs="宋体"/>
          <w:b/>
          <w:bCs/>
          <w:color w:val="000000" w:themeColor="text1"/>
          <w:sz w:val="24"/>
          <w:highlight w:val="none"/>
          <w14:textFill>
            <w14:solidFill>
              <w14:schemeClr w14:val="tx1"/>
            </w14:solidFill>
          </w14:textFill>
        </w:rPr>
        <w:t>、不可抗力</w:t>
      </w:r>
    </w:p>
    <w:p w14:paraId="5493B275">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1、本合同项下的“不可抗力”是指不能预见， 不能避免且不能克服的客观情况，使得本 合同一方当事人无法履行合同义务，不可抗力事由发生三日内，不能履行合同方应当向对方发 出书面通知。不可抗力之政治因素及自然灾害：如战争、严重火灾、水灾、风灾和地震属于不可抗力的事故。</w:t>
      </w:r>
    </w:p>
    <w:p w14:paraId="6583932F">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6DE7F417">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3、如不可抗力时间延续120天以上的，各方通过协商达成在合理的时间内继续履行合同，或部分履行合同，或终止合同的履行。</w:t>
      </w:r>
    </w:p>
    <w:p w14:paraId="0ED7A69F">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4、一方迟延履行后发生不可抗力的，不能免除责任。</w:t>
      </w:r>
    </w:p>
    <w:p w14:paraId="780028E8">
      <w:pPr>
        <w:ind w:firstLine="0" w:firstLineChars="0"/>
        <w:rPr>
          <w:rFonts w:hint="eastAsia"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十</w:t>
      </w:r>
      <w:r>
        <w:rPr>
          <w:rFonts w:hint="eastAsia" w:ascii="宋体" w:hAnsi="宋体" w:cs="宋体"/>
          <w:b/>
          <w:bCs/>
          <w:color w:val="000000" w:themeColor="text1"/>
          <w:sz w:val="24"/>
          <w:highlight w:val="none"/>
          <w:lang w:val="en-US" w:eastAsia="zh-CN"/>
          <w14:textFill>
            <w14:solidFill>
              <w14:schemeClr w14:val="tx1"/>
            </w14:solidFill>
          </w14:textFill>
        </w:rPr>
        <w:t>五</w:t>
      </w:r>
      <w:r>
        <w:rPr>
          <w:rFonts w:hint="eastAsia" w:ascii="宋体" w:hAnsi="宋体" w:cs="宋体"/>
          <w:b/>
          <w:bCs/>
          <w:color w:val="000000" w:themeColor="text1"/>
          <w:sz w:val="24"/>
          <w:highlight w:val="none"/>
          <w14:textFill>
            <w14:solidFill>
              <w14:schemeClr w14:val="tx1"/>
            </w14:solidFill>
          </w14:textFill>
        </w:rPr>
        <w:t>、通知和合同修改</w:t>
      </w:r>
    </w:p>
    <w:p w14:paraId="68B3908C">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本合同一方给另一方的通知，都应以书面的形式（信函、传真）发送至对方，对本合同条款进行任何改动，均须由甲乙双方签署书面合同修改签证，方为有效。</w:t>
      </w:r>
    </w:p>
    <w:p w14:paraId="56CB0A1F">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十七、其他规定</w:t>
      </w:r>
    </w:p>
    <w:p w14:paraId="71223906">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本合同的附件为本合同不可分割的部分，与本合同正文具有同等的法律效力。合同附件与本合同约定不一致的， 以本合同的约定为准， 除非双方一致同意并以书面形式表示以合同附件为准。本合同甲、乙双方均同意以上条款内容。</w:t>
      </w:r>
    </w:p>
    <w:p w14:paraId="007CAF49">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本合同一式柒份，正本叁份（甲方贰份，乙方壹份），副本肆份（甲方贰份，乙方贰份） ，具有同等效力。自双方法定代表人或授权代表人签字、并加盖单位公章之日起生效。</w:t>
      </w:r>
    </w:p>
    <w:p w14:paraId="40C8B5C2">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本合同的订立、履行、变更、终止、解释等均适用中华人民共和国法律。</w:t>
      </w:r>
    </w:p>
    <w:p w14:paraId="579A2CA6">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本合同未尽事宜由双方共同协商，另行订立补充协议，补充协议与本合同具有同样的法律效力。如果本合同之附件与本合同规定不符, 以本合同规定为准。</w:t>
      </w:r>
    </w:p>
    <w:p w14:paraId="092E0B67">
      <w:pPr>
        <w:ind w:firstLine="0" w:firstLineChars="0"/>
        <w:rPr>
          <w:rFonts w:hint="eastAsia" w:asciiTheme="minorEastAsia" w:hAnsiTheme="minorEastAsia" w:eastAsiaTheme="minorEastAsia" w:cstheme="minorEastAsia"/>
          <w:color w:val="000000" w:themeColor="text1"/>
          <w:sz w:val="24"/>
          <w14:textFill>
            <w14:solidFill>
              <w14:schemeClr w14:val="tx1"/>
            </w14:solidFill>
          </w14:textFill>
        </w:rPr>
      </w:pPr>
    </w:p>
    <w:p w14:paraId="606BC250">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（以下无正文）</w:t>
      </w:r>
    </w:p>
    <w:p w14:paraId="4B18C82E">
      <w:pPr>
        <w:pStyle w:val="2"/>
        <w:rPr>
          <w:rFonts w:hint="eastAsia"/>
          <w:color w:val="000000" w:themeColor="text1"/>
          <w14:textFill>
            <w14:solidFill>
              <w14:schemeClr w14:val="tx1"/>
            </w14:solidFill>
          </w14:textFill>
        </w:rPr>
      </w:pPr>
    </w:p>
    <w:p w14:paraId="06621E35">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 xml:space="preserve">甲方：陕西工业职业技术学院       </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14:textFill>
            <w14:solidFill>
              <w14:schemeClr w14:val="tx1"/>
            </w14:solidFill>
          </w14:textFill>
        </w:rPr>
        <w:t xml:space="preserve"> 乙方： </w:t>
      </w:r>
    </w:p>
    <w:p w14:paraId="56528FEE">
      <w:pPr>
        <w:pStyle w:val="2"/>
        <w:ind w:firstLine="480" w:firstLineChars="200"/>
        <w:rPr>
          <w:rFonts w:hint="default" w:eastAsiaTheme="minorEastAsia"/>
          <w:color w:val="000000" w:themeColor="text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地址：                             地址：</w:t>
      </w:r>
    </w:p>
    <w:p w14:paraId="6EA9807D">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 xml:space="preserve">法人代表或授权代表：              </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14:textFill>
            <w14:solidFill>
              <w14:schemeClr w14:val="tx1"/>
            </w14:solidFill>
          </w14:textFill>
        </w:rPr>
        <w:t xml:space="preserve">法人代表或授权代表：             </w:t>
      </w:r>
    </w:p>
    <w:p w14:paraId="4039CA42">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签订日期： 202</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4"/>
          <w14:textFill>
            <w14:solidFill>
              <w14:schemeClr w14:val="tx1"/>
            </w14:solidFill>
          </w14:textFill>
        </w:rPr>
        <w:t xml:space="preserve">年     月     日  </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14:textFill>
            <w14:solidFill>
              <w14:schemeClr w14:val="tx1"/>
            </w14:solidFill>
          </w14:textFill>
        </w:rPr>
        <w:t>签订日期： 202</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4"/>
          <w14:textFill>
            <w14:solidFill>
              <w14:schemeClr w14:val="tx1"/>
            </w14:solidFill>
          </w14:textFill>
        </w:rPr>
        <w:t>年     月     日</w:t>
      </w:r>
    </w:p>
    <w:p w14:paraId="52852903">
      <w:pPr>
        <w:pStyle w:val="2"/>
        <w:rPr>
          <w:rFonts w:hint="eastAsia" w:asciiTheme="minorEastAsia" w:hAnsiTheme="minorEastAsia" w:eastAsiaTheme="minorEastAsia" w:cstheme="minorEastAsia"/>
          <w:color w:val="000000" w:themeColor="text1"/>
          <w:sz w:val="24"/>
          <w14:textFill>
            <w14:solidFill>
              <w14:schemeClr w14:val="tx1"/>
            </w14:solidFill>
          </w14:textFill>
        </w:rPr>
      </w:pPr>
    </w:p>
    <w:p w14:paraId="61B2BF7C">
      <w:pPr>
        <w:pStyle w:val="2"/>
        <w:rPr>
          <w:rFonts w:hint="eastAsia" w:asciiTheme="minorEastAsia" w:hAnsiTheme="minorEastAsia" w:eastAsiaTheme="minorEastAsia" w:cstheme="minorEastAsia"/>
          <w:color w:val="000000" w:themeColor="text1"/>
          <w:sz w:val="24"/>
          <w14:textFill>
            <w14:solidFill>
              <w14:schemeClr w14:val="tx1"/>
            </w14:solidFill>
          </w14:textFill>
        </w:rPr>
      </w:pPr>
    </w:p>
    <w:p w14:paraId="41D86EB9">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p>
    <w:p w14:paraId="77FF0630">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招标代理机构（盖章）：中昕国际项目管理有限公司</w:t>
      </w:r>
    </w:p>
    <w:p w14:paraId="34FB4BBC">
      <w:pPr>
        <w:pStyle w:val="2"/>
        <w:rPr>
          <w:rFonts w:hint="eastAsia" w:eastAsiaTheme="minorEastAsia"/>
          <w:color w:val="000000" w:themeColor="text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地    址：</w:t>
      </w:r>
    </w:p>
    <w:p w14:paraId="1B6FE293">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 xml:space="preserve">代    表：                       </w:t>
      </w:r>
    </w:p>
    <w:p w14:paraId="3299E5BB">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签订日期： 202</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4"/>
          <w14:textFill>
            <w14:solidFill>
              <w14:schemeClr w14:val="tx1"/>
            </w14:solidFill>
          </w14:textFill>
        </w:rPr>
        <w:t>年    月    日</w:t>
      </w:r>
    </w:p>
    <w:p w14:paraId="63ADC583">
      <w:pPr>
        <w:ind w:firstLine="480"/>
        <w:rPr>
          <w:rFonts w:hint="eastAsia" w:asciiTheme="minorEastAsia" w:hAnsiTheme="minorEastAsia" w:eastAsiaTheme="minorEastAsia" w:cstheme="minorEastAsia"/>
          <w:color w:val="000000" w:themeColor="text1"/>
          <w:sz w:val="24"/>
          <w14:textFill>
            <w14:solidFill>
              <w14:schemeClr w14:val="tx1"/>
            </w14:solidFill>
          </w14:textFill>
        </w:rPr>
      </w:pPr>
    </w:p>
    <w:p w14:paraId="0F9C801F"/>
    <w:sectPr>
      <w:headerReference r:id="rId6" w:type="default"/>
      <w:footerReference r:id="rId7"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A02D4">
    <w:pPr>
      <w:spacing w:line="174" w:lineRule="auto"/>
      <w:ind w:left="4816" w:firstLine="360"/>
      <w:rPr>
        <w:rFonts w:eastAsia="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8150" cy="186690"/>
              <wp:effectExtent l="0" t="0" r="0" b="0"/>
              <wp:wrapNone/>
              <wp:docPr id="3" name="文本框 3"/>
              <wp:cNvGraphicFramePr/>
              <a:graphic xmlns:a="http://schemas.openxmlformats.org/drawingml/2006/main">
                <a:graphicData uri="http://schemas.microsoft.com/office/word/2010/wordprocessingShape">
                  <wps:wsp>
                    <wps:cNvSpPr txBox="1"/>
                    <wps:spPr>
                      <a:xfrm>
                        <a:off x="0" y="0"/>
                        <a:ext cx="438150" cy="186690"/>
                      </a:xfrm>
                      <a:prstGeom prst="rect">
                        <a:avLst/>
                      </a:prstGeom>
                      <a:noFill/>
                      <a:ln>
                        <a:noFill/>
                      </a:ln>
                    </wps:spPr>
                    <wps:txbx>
                      <w:txbxContent>
                        <w:p w14:paraId="65EE8D04">
                          <w:pPr>
                            <w:pStyle w:val="5"/>
                            <w:ind w:firstLine="360"/>
                          </w:pPr>
                          <w:r>
                            <w:fldChar w:fldCharType="begin"/>
                          </w:r>
                          <w:r>
                            <w:instrText xml:space="preserve"> PAGE  \* MERGEFORMAT </w:instrText>
                          </w:r>
                          <w:r>
                            <w:fldChar w:fldCharType="separate"/>
                          </w:r>
                          <w:r>
                            <w:t>3</w:t>
                          </w:r>
                          <w:r>
                            <w:fldChar w:fldCharType="end"/>
                          </w:r>
                        </w:p>
                      </w:txbxContent>
                    </wps:txbx>
                    <wps:bodyPr lIns="0" tIns="0" rIns="0" bIns="0"/>
                  </wps:wsp>
                </a:graphicData>
              </a:graphic>
            </wp:anchor>
          </w:drawing>
        </mc:Choice>
        <mc:Fallback>
          <w:pict>
            <v:shape id="_x0000_s1026" o:spid="_x0000_s1026" o:spt="202" type="#_x0000_t202" style="position:absolute;left:0pt;margin-top:0pt;height:14.7pt;width:34.5pt;mso-position-horizontal:center;mso-position-horizontal-relative:margin;z-index:251660288;mso-width-relative:page;mso-height-relative:page;" filled="f" stroked="f" coordsize="21600,21600" o:gfxdata="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VC3le&#10;0wAAAAMBAAAPAAAAAAAAAAEAIAAAACIAAABkcnMvZG93bnJldi54bWxQSwECFAAUAAAACACHTuJA&#10;fvj0n7QBAABlAwAADgAAAAAAAAABACAAAAAiAQAAZHJzL2Uyb0RvYy54bWxQSwUGAAAAAAYABgBZ&#10;AQAASAUAAAAA&#10;">
              <v:fill on="f" focussize="0,0"/>
              <v:stroke on="f"/>
              <v:imagedata o:title=""/>
              <o:lock v:ext="edit" aspectratio="f"/>
              <v:textbox inset="0mm,0mm,0mm,0mm">
                <w:txbxContent>
                  <w:p w14:paraId="65EE8D04">
                    <w:pPr>
                      <w:pStyle w:val="5"/>
                      <w:ind w:firstLine="36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C4F5E">
    <w:pPr>
      <w:spacing w:line="174" w:lineRule="auto"/>
      <w:ind w:left="4820" w:firstLine="360"/>
      <w:rPr>
        <w:rFonts w:eastAsia="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08952F">
                          <w:pPr>
                            <w:pStyle w:val="5"/>
                            <w:ind w:firstLine="360"/>
                          </w:pPr>
                          <w:r>
                            <w:fldChar w:fldCharType="begin"/>
                          </w:r>
                          <w:r>
                            <w:instrText xml:space="preserve"> PAGE  \* MERGEFORMAT </w:instrText>
                          </w:r>
                          <w:r>
                            <w:fldChar w:fldCharType="separate"/>
                          </w:r>
                          <w:r>
                            <w:t>56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0608952F">
                    <w:pPr>
                      <w:pStyle w:val="5"/>
                      <w:ind w:firstLine="360"/>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7588B">
    <w:pPr>
      <w:spacing w:line="218" w:lineRule="auto"/>
      <w:ind w:left="140" w:firstLine="360"/>
      <w:rPr>
        <w:rFonts w:ascii="宋体" w:hAnsi="宋体" w:cs="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FE19DC"/>
    <w:rsid w:val="0E8E3B6F"/>
    <w:rsid w:val="107514F4"/>
    <w:rsid w:val="43EB4FBE"/>
    <w:rsid w:val="474E1CD4"/>
    <w:rsid w:val="4D102889"/>
    <w:rsid w:val="590E0590"/>
    <w:rsid w:val="633A5F8A"/>
    <w:rsid w:val="664663E8"/>
    <w:rsid w:val="670A0781"/>
    <w:rsid w:val="73FE1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pPr>
  </w:style>
  <w:style w:type="paragraph" w:styleId="3">
    <w:name w:val="annotation text"/>
    <w:basedOn w:val="1"/>
    <w:qFormat/>
    <w:uiPriority w:val="0"/>
    <w:pPr>
      <w:jc w:val="left"/>
    </w:pPr>
  </w:style>
  <w:style w:type="paragraph" w:styleId="4">
    <w:name w:val="Body Text"/>
    <w:basedOn w:val="1"/>
    <w:qFormat/>
    <w:uiPriority w:val="0"/>
    <w:pPr>
      <w:spacing w:after="120"/>
    </w:pPr>
  </w:style>
  <w:style w:type="paragraph" w:styleId="5">
    <w:name w:val="footer"/>
    <w:basedOn w:val="1"/>
    <w:next w:val="4"/>
    <w:qFormat/>
    <w:uiPriority w:val="99"/>
    <w:pPr>
      <w:tabs>
        <w:tab w:val="center" w:pos="4153"/>
        <w:tab w:val="right" w:pos="8306"/>
      </w:tabs>
      <w:snapToGrid w:val="0"/>
      <w:jc w:val="left"/>
    </w:pPr>
    <w:rPr>
      <w:sz w:val="18"/>
      <w:szCs w:val="20"/>
    </w:rPr>
  </w:style>
  <w:style w:type="table" w:customStyle="1" w:styleId="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6447</Words>
  <Characters>6532</Characters>
  <Lines>0</Lines>
  <Paragraphs>0</Paragraphs>
  <TotalTime>2</TotalTime>
  <ScaleCrop>false</ScaleCrop>
  <LinksUpToDate>false</LinksUpToDate>
  <CharactersWithSpaces>7014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2025-07-10T08:09:00Z</dcterms:created>
  <dc:creator>96</dc:creator>
  <cp:lastModifiedBy>时间。负荷</cp:lastModifiedBy>
  <dcterms:modified xsi:type="dcterms:W3CDTF">2025-07-17T04:29:38Z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77E1346A42044348895049DE8BE5CD18_13</vt:lpwstr>
  </property>
  <property fmtid="{D5CDD505-2E9C-101B-9397-08002B2CF9AE}" pid="4" name="KSOTemplateDocerSaveRecord">
    <vt:lpwstr>eyJoZGlkIjoiNWY3ZmY4MWIzMGUzYjQxNzAyYTUzNjg3MzhhYmRhZDEiLCJ1c2VySWQiOiI1MDY5NzczMDcifQ==</vt:lpwstr>
  </property>
</Properties>
</file>