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版本号：KY2025-1-623.20250715001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陕西法网运维服务项目(二次)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KY2025-1-623.</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陕西法网运维服务项目(二次)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KY2025-1-623.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陕西法网运维服务项目(二次)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陕西省司法厅陕西法网运维服务项目（二次），1项，具体内容详见采购文件第三章。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采购包1（陕西法网运维服务项目（二次））：属于专门面向中小企业采购。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8、中小企业声明函：本项目专门面向中小企业采购，供应商须提供中小企业声明函。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代理服务费收费标准：成交服务费按约定由成交供应商支付，定额收取伍仟元整。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联系人：温虎、牛佩文</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陕西省司法厅陕西法网运维服务项目（二次），1项，具体内容详见采购文件第三章。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108,000.00</w:t>
      </w:r>
    </w:p>
    <w:p>
      <w:pPr>
        <w:pStyle w:val="null3"/>
      </w:pPr>
      <w:r>
        <w:rPr>
          <w:rFonts w:ascii="仿宋_GB2312" w:hAnsi="仿宋_GB2312" w:cs="仿宋_GB2312" w:eastAsia="仿宋_GB2312"/>
        </w:rPr>
        <w:t>采购包最高限价（元）: 108,000.00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陕西法网运维服务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标的名称：陕西法网运维服务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采购内容及要求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项目背景</w:t>
            </w:r>
          </w:p>
          <w:p>
            <w:pPr>
              <w:pStyle w:val="null3"/>
              <w:ind w:firstLine="480"/>
              <w:jc w:val="both"/>
            </w:pPr>
            <w:r>
              <w:rPr>
                <w:rFonts w:ascii="仿宋_GB2312" w:hAnsi="仿宋_GB2312" w:cs="仿宋_GB2312" w:eastAsia="仿宋_GB2312"/>
                <w:sz w:val="24"/>
              </w:rPr>
              <w:t>陕西法律服务网是陕西省司法厅全力打造的公共法律服务网络终端，致力于为群众提供全方位、专业的便捷法律服务。根据司法部关于建设中国法网的要求，落实省厅党组会议纪要【</w:t>
            </w:r>
            <w:r>
              <w:rPr>
                <w:rFonts w:ascii="仿宋_GB2312" w:hAnsi="仿宋_GB2312" w:cs="仿宋_GB2312" w:eastAsia="仿宋_GB2312"/>
                <w:sz w:val="24"/>
              </w:rPr>
              <w:t>2018</w:t>
            </w:r>
            <w:r>
              <w:rPr>
                <w:rFonts w:ascii="仿宋_GB2312" w:hAnsi="仿宋_GB2312" w:cs="仿宋_GB2312" w:eastAsia="仿宋_GB2312"/>
                <w:sz w:val="24"/>
              </w:rPr>
              <w:t>】</w:t>
            </w:r>
            <w:r>
              <w:rPr>
                <w:rFonts w:ascii="仿宋_GB2312" w:hAnsi="仿宋_GB2312" w:cs="仿宋_GB2312" w:eastAsia="仿宋_GB2312"/>
                <w:sz w:val="24"/>
              </w:rPr>
              <w:t>1号文件精神，为确保我省法网的管理、运行和维护更加规范和专业，除组建技术保障团队，为法网上线运行创造良好的技术环境外，还需要建立专门的运营管理团队。管理团队主要负责进驻法网面向公众提供法律咨询和业务预约服务的监管，日常对公众上网咨询、办理法律事务的分发，驻场法律服务机构和人员的监督管理，同时负责中国法网的陕西区域情况的协调和管理等工作。</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运维服务目标</w:t>
            </w:r>
          </w:p>
          <w:p>
            <w:pPr>
              <w:pStyle w:val="null3"/>
              <w:ind w:firstLine="480"/>
              <w:jc w:val="both"/>
            </w:pPr>
            <w:r>
              <w:rPr>
                <w:rFonts w:ascii="仿宋_GB2312" w:hAnsi="仿宋_GB2312" w:cs="仿宋_GB2312" w:eastAsia="仿宋_GB2312"/>
                <w:sz w:val="24"/>
              </w:rPr>
              <w:t>通过运营管理团队对陕西法律服务网</w:t>
            </w:r>
            <w:r>
              <w:rPr>
                <w:rFonts w:ascii="仿宋_GB2312" w:hAnsi="仿宋_GB2312" w:cs="仿宋_GB2312" w:eastAsia="仿宋_GB2312"/>
                <w:sz w:val="24"/>
              </w:rPr>
              <w:t>驻场法律服务机构和人员的监督管理</w:t>
            </w:r>
            <w:r>
              <w:rPr>
                <w:rFonts w:ascii="仿宋_GB2312" w:hAnsi="仿宋_GB2312" w:cs="仿宋_GB2312" w:eastAsia="仿宋_GB2312"/>
                <w:sz w:val="24"/>
              </w:rPr>
              <w:t>，确保法网平稳、有序运行，确保信息发布的及时性和权威性，提高陕西法网的社会影响力；确保信息系统和数据的安全；提高应急响应和故障恢复能力。</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运维内容</w:t>
            </w:r>
          </w:p>
          <w:p>
            <w:pPr>
              <w:pStyle w:val="null3"/>
              <w:ind w:firstLine="480"/>
              <w:jc w:val="both"/>
            </w:pPr>
            <w:r>
              <w:rPr>
                <w:rFonts w:ascii="仿宋_GB2312" w:hAnsi="仿宋_GB2312" w:cs="仿宋_GB2312" w:eastAsia="仿宋_GB2312"/>
                <w:sz w:val="24"/>
              </w:rPr>
              <w:t>响应单位在服务期内应提供但不限于如下服务内容：</w:t>
            </w:r>
          </w:p>
          <w:p>
            <w:pPr>
              <w:pStyle w:val="null3"/>
              <w:ind w:firstLine="480"/>
              <w:jc w:val="both"/>
            </w:pPr>
            <w:r>
              <w:rPr>
                <w:rFonts w:ascii="仿宋_GB2312" w:hAnsi="仿宋_GB2312" w:cs="仿宋_GB2312" w:eastAsia="仿宋_GB2312"/>
                <w:sz w:val="24"/>
              </w:rPr>
              <w:t>1、乙方负责陕西法律服务网运营管理工作以及其他相关工作。</w:t>
            </w:r>
          </w:p>
          <w:p>
            <w:pPr>
              <w:pStyle w:val="null3"/>
              <w:ind w:firstLine="480"/>
              <w:jc w:val="both"/>
            </w:pPr>
            <w:r>
              <w:rPr>
                <w:rFonts w:ascii="仿宋_GB2312" w:hAnsi="仿宋_GB2312" w:cs="仿宋_GB2312" w:eastAsia="仿宋_GB2312"/>
                <w:sz w:val="24"/>
              </w:rPr>
              <w:t>2、乙方应保证陕西法律服务网各项业务的正常营运，保证除因网络技术原因、系统运行原因及不可抗拒原因，网站年停止服务累计不得超过5小时。</w:t>
            </w:r>
          </w:p>
          <w:p>
            <w:pPr>
              <w:pStyle w:val="null3"/>
              <w:ind w:firstLine="480"/>
              <w:jc w:val="both"/>
            </w:pPr>
            <w:r>
              <w:rPr>
                <w:rFonts w:ascii="仿宋_GB2312" w:hAnsi="仿宋_GB2312" w:cs="仿宋_GB2312" w:eastAsia="仿宋_GB2312"/>
                <w:sz w:val="24"/>
              </w:rPr>
              <w:t>3、按时派发和审核相关提问，累计案件待处理不得超过5天。如遇节假日，可用移动设备在家处理。</w:t>
            </w:r>
          </w:p>
          <w:p>
            <w:pPr>
              <w:pStyle w:val="null3"/>
              <w:ind w:firstLine="480"/>
              <w:jc w:val="both"/>
            </w:pPr>
            <w:r>
              <w:rPr>
                <w:rFonts w:ascii="仿宋_GB2312" w:hAnsi="仿宋_GB2312" w:cs="仿宋_GB2312" w:eastAsia="仿宋_GB2312"/>
                <w:sz w:val="24"/>
              </w:rPr>
              <w:t>4、乙方提供2人驻点现场服务，承担陕西法律服务网日常维护工作,确保法网运营服务的质量和连续性。</w:t>
            </w:r>
          </w:p>
          <w:p>
            <w:pPr>
              <w:pStyle w:val="null3"/>
              <w:ind w:firstLine="480"/>
              <w:jc w:val="both"/>
            </w:pPr>
            <w:r>
              <w:rPr>
                <w:rFonts w:ascii="仿宋_GB2312" w:hAnsi="仿宋_GB2312" w:cs="仿宋_GB2312" w:eastAsia="仿宋_GB2312"/>
                <w:sz w:val="24"/>
              </w:rPr>
              <w:t>5、乙方人员在甲方提供的办公地点駐点服务，提供7×24小时服务，接受用户的统一管理。如遇紧急情况，乙方可依据实际需要调动或重新指派相关人员。</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签署保密协议，并在提供服务过程中严格遵守保密条款。严禁非法搜集、使用、泄漏相关信息，如因违反保密协议造成的所有后果由响应单位承担责任。</w:t>
            </w:r>
          </w:p>
          <w:p>
            <w:pPr>
              <w:pStyle w:val="null3"/>
              <w:jc w:val="both"/>
            </w:pPr>
            <w:r>
              <w:rPr>
                <w:rFonts w:ascii="仿宋_GB2312" w:hAnsi="仿宋_GB2312" w:cs="仿宋_GB2312" w:eastAsia="仿宋_GB2312"/>
                <w:sz w:val="24"/>
                <w:color w:val="000000"/>
              </w:rPr>
              <w:t>注：</w:t>
            </w:r>
          </w:p>
          <w:p>
            <w:pPr>
              <w:pStyle w:val="null3"/>
              <w:jc w:val="both"/>
            </w:pPr>
            <w:r>
              <w:rPr>
                <w:rFonts w:ascii="仿宋_GB2312" w:hAnsi="仿宋_GB2312" w:cs="仿宋_GB2312" w:eastAsia="仿宋_GB2312"/>
                <w:sz w:val="24"/>
                <w:color w:val="000000"/>
              </w:rPr>
              <w:t>付款方式（</w:t>
            </w:r>
            <w:r>
              <w:rPr>
                <w:rFonts w:ascii="仿宋_GB2312" w:hAnsi="仿宋_GB2312" w:cs="仿宋_GB2312" w:eastAsia="仿宋_GB2312"/>
                <w:sz w:val="24"/>
              </w:rPr>
              <w:t>因系统格式限制，付款方式以此处为准</w:t>
            </w:r>
            <w:r>
              <w:rPr>
                <w:rFonts w:ascii="仿宋_GB2312" w:hAnsi="仿宋_GB2312" w:cs="仿宋_GB2312" w:eastAsia="仿宋_GB2312"/>
                <w:sz w:val="24"/>
                <w:color w:val="000000"/>
              </w:rPr>
              <w:t>）：</w:t>
            </w:r>
            <w:r>
              <w:rPr>
                <w:rFonts w:ascii="仿宋_GB2312" w:hAnsi="仿宋_GB2312" w:cs="仿宋_GB2312" w:eastAsia="仿宋_GB2312"/>
                <w:sz w:val="24"/>
              </w:rPr>
              <w:t>每两个月付款一次。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陕西省司法厅指定地点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合同签订后，每两个月付款一次（注：因系统格式限制，“支付合同总金额的100%”指：每两个月实际支付金额）</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1、供应商需要在线提交所有通过电子化交易平台实施的政府采购项目的投标文件。同时，线下提交纸质响应文件正本壹份、副本贰份、电子版壹份（U盘壹份）。 2、纸质投标文件正本、副本、电子版，标明供应商名称分开密封递交（投标文件采用双面打印）。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中小企业声明函.docx 供应商承诺书.docx 商务条款响应说明.docx 响应文件封面 分项报价表.docx 残疾人福利性单位声明函 标的清单 供应商资格证明文件.docx 响应报价表.docx 响应函 技术内容及技术要求应答表.docx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中小企业声明函.docx 保证金交纳凭证保函.docx 供应商承诺书.docx 商务条款响应说明.docx 响应文件封面 分项报价表.docx 残疾人福利性单位声明函 标的清单 供应商资格证明文件.docx 响应报价表.docx 响应函 技术内容及技术要求应答表.docx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 供应商承诺书.docx 商务条款响应说明.docx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响应方案说明.docx 中小企业声明函.docx 供应商承诺书.docx 商务条款响应说明.docx 响应文件封面 分项报价表.docx 残疾人福利性单位声明函 标的清单 供应商资格证明文件.docx 响应报价表.docx 响应函 技术内容及技术要求应答表.docx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供应商熟悉陕西法律服务网业务，对系统现状、运维需求具有深刻理解，并进行全面、准确、细致的需求分析，根据响应程度按差别赋分。 （1）项目需求分析思路清晰、全面、合理，计10分； （2）项目需求分析较全面、较合理，计7分； （3）项目需求分析基本全面、基本合理，计4分； （4）项目需求分析内容简单、缺乏合理性的，计1分；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供应商针对本项目提供切实可行的运维服务方案，包括但不限于解决方案、维护服务体系、维护范围、服务内容等，根据响应程度按差别赋分。 （1）方案科学完善，对故障处理工作内容的理解和故障处理措施合理、规范、可操作性强，能保障系统正常运行，计20分； （2）方案内容较为完整、切合实际，符合本项目实际需求，计16分； （3）方案内容基本全面、合理，基本符合本项目实际需求，计12分； （4）方案内容不够完整、合理性一般，计8分； （5）方案有明显缺陷，具体实施不切实际，计4分； （6）方案内容有偏差，无法满足本项目需求，计1分； （7）未提供不计分。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供应商针对本项目制定详细的人员配置方案，人员分工合理、岗位责任明确，能确保项目顺利实施。根据所配备人员的专业素质、技术能力和从业经验等进行综合比较，根据响应程度按差别赋分。 （1）人员配备合理、专业涵盖全面，计10分； （2）人员配备较合理、能够满足项目服务所需人员要求，计7分； （3）人员配备基本合理、基本满足项目服务所需人员要求，计4分； （4）人员配备不合理，不能满足项目服务所需人员要求，计1分。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供应商提供针对本项目的服务质量保障方案，包括但不限于项目质量管理、风险控制管理及措施等，根据响应程度按差别赋分。 （1）质量措施完整详细、针对性强，计15分； （2）质量措施比较完整、具有针对性，计10分； （3）质量措施内容简单、针对性一般，计5分； （4）质量措施不完整、针对性差，计1分； （5）未提供不计分。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供应商针对可能出现的问题及突发事件，有具体可行的应急响应方案，内容包括但不限于运维响应时间、定期巡查、应急解决方案、备份恢复、服务监督管理机制等，根据响应程度按差别赋分。 （1）方案科学完善，对故障的处理措施合理、规范、可操作性强，能保障项目顺利实施，计10分； （2）方案较完整，较合理可行，能够保障项目实施，计7分； （3）方案基本完整，较合理可行，能基本保障项目实施，计4分； （4）方案简单、内容空泛，可行性较差，计1分；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供应商具有完善的安全保密措施，从管理、人员、技术等各个方面，全面保证采购人系统平台安全，确保数据及相关信息不泄密，并提供保密承诺，根据响应程度按差别赋分。 （1）措施内容全面、细致详细、合理可行，计5分； （2）措施内容简单、可行性一般，计3分； （3）措施内容有明显缺陷，不切合实际的，计1分；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包括：培训人数、培训时间、培训内容等），并列出培训的具体内容及方式，确保使用人员能够独立熟练操作、维护和正常使用，并进行简单故障排查处理，根据响应程度按差别赋分。 （1）方案清晰完整、合理可行，计3分； （2）方案基本清晰完整、基本可行，计2分； （3）方案内容简单，可行性不强，计1分；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供应商针对本项目的重点、难点及可能出现的遗留问题提出整改意见及合理化建议，根据响应程度按差别赋分。 （1）合理化建议内容详尽，针对性强，完全满足项目需求，计5分； （2）合理化建议内容较全面、针对性较强、计3分； （3）合理化建议内容简单，不切合实际，计1分； （4）未提供合理化建议不计分。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供应商在项目所在地具有相应的技术支持及服务能力（提供相关证明材料），能够有效保障本地化技术服务及服务协调的及时性，计2分。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 计算分数时四舍五入取小数点后两位 注：专门面向中小企业采购的项目，不再执行价格评审优惠的扶持政策。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详见附件：技术内容及技术要求应答表.docx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