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版本号：ZX2025-07-2720250715001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“晚晴公益行”项目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ZX2025-07-27</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“晚晴公益行”项目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ZX2025-07-27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“晚晴公益行”项目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组织公检法领域退休人员通过法治讲座、法律咨询、发放书籍等形式，开展普法宣传、法律援助、民事调解、维权指导等服务，帮助老年人维护合法权益；开设“银龄学堂”，组织开展反诈知识普及、智能手机培训等数字助老活动，帮助老年人更好地融入数字社会。该项目为期一年。重点在宝鸡、铜川、渭南、杨凌等地市开展。具体采购需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史老师 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029-63917552、029-63917397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无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无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无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采购包1保证金金额：19,072.70元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根据磋商文件、成交供应商响应文件和合同文本执行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组织公检法领域退休人员通过法治讲座、法律咨询、发放书籍等形式，开展普法宣传、法律援助、民事调解、维权指导等服务，帮助老年人维护合法权益；开设“银龄学堂”，组织开展反诈知识普及、智能手机培训等数字助老活动，帮助老年人更好地融入数字社会。该项目为期一年。重点在宝鸡、铜川、渭南、杨凌等地市开展。具体采购需求详见磋商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晚晴公益行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标的名称：晚晴公益行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一、项目背景</w:t>
            </w:r>
          </w:p>
          <w:p>
            <w:pPr>
              <w:pStyle w:val="null3"/>
            </w:pPr>
            <w:r>
              <w:rPr>
                <w:rFonts w:ascii="仿宋_GB2312" w:hAnsi="仿宋_GB2312" w:cs="仿宋_GB2312" w:eastAsia="仿宋_GB2312"/>
              </w:rPr>
              <w:t>为帮助老年人维护合法权益、助力老年人融入数字社会，根据《中华人民共和国老年人权益保障法》、全国老龄工作委员会《关于深入开展新时代“银龄行动”的指导意见》（全国老龄委发〔2024〕5号）、陕西省老龄工作委员会《关于印发&lt;陕西省“十四五”老龄事业发展规划和二〇三五年远景目标&gt;的通知》（陕老龄委发〔2021〕2号）文件的要求。</w:t>
            </w:r>
          </w:p>
          <w:p>
            <w:pPr>
              <w:pStyle w:val="null3"/>
            </w:pPr>
            <w:r>
              <w:rPr>
                <w:rFonts w:ascii="仿宋_GB2312" w:hAnsi="仿宋_GB2312" w:cs="仿宋_GB2312" w:eastAsia="仿宋_GB2312"/>
              </w:rPr>
              <w:t>二、项目概述</w:t>
            </w:r>
          </w:p>
          <w:p>
            <w:pPr>
              <w:pStyle w:val="null3"/>
            </w:pPr>
            <w:r>
              <w:rPr>
                <w:rFonts w:ascii="仿宋_GB2312" w:hAnsi="仿宋_GB2312" w:cs="仿宋_GB2312" w:eastAsia="仿宋_GB2312"/>
              </w:rPr>
              <w:t>组织公检法领域退休人员通过法治讲座、法律咨询、发放书籍等形式，开展普法宣传、法律援助、民事调解、维权指导等服务，帮助老年人维护合法权益；开设“银龄学堂”，组织开展反诈知识普及、智能手机培训等数字助老活动，帮助老年人更好地融入数字社会。该项目为期一年。重点在宝鸡、铜川、渭南、杨凌等地市开展。</w:t>
            </w:r>
          </w:p>
          <w:p>
            <w:pPr>
              <w:pStyle w:val="null3"/>
            </w:pPr>
            <w:r>
              <w:rPr>
                <w:rFonts w:ascii="仿宋_GB2312" w:hAnsi="仿宋_GB2312" w:cs="仿宋_GB2312" w:eastAsia="仿宋_GB2312"/>
              </w:rPr>
              <w:t>三、活动清单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标题</w:t>
                  </w:r>
                </w:p>
              </w:tc>
              <w:tc>
                <w:tcPr>
                  <w:tcW w:type="dxa" w:w="851"/>
                </w:tcPr>
                <w:p>
                  <w:pPr>
                    <w:pStyle w:val="null3"/>
                  </w:pPr>
                  <w:r>
                    <w:rPr>
                      <w:rFonts w:ascii="仿宋_GB2312" w:hAnsi="仿宋_GB2312" w:cs="仿宋_GB2312" w:eastAsia="仿宋_GB2312"/>
                    </w:rPr>
                    <w:t>要求</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老年志愿者比例</w:t>
                  </w:r>
                </w:p>
              </w:tc>
              <w:tc>
                <w:tcPr>
                  <w:tcW w:type="dxa" w:w="851"/>
                </w:tcPr>
                <w:p>
                  <w:pPr>
                    <w:pStyle w:val="null3"/>
                  </w:pPr>
                  <w:r>
                    <w:rPr>
                      <w:rFonts w:ascii="仿宋_GB2312" w:hAnsi="仿宋_GB2312" w:cs="仿宋_GB2312" w:eastAsia="仿宋_GB2312"/>
                    </w:rPr>
                    <w:t>不少于90%</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活动开展</w:t>
                  </w:r>
                </w:p>
              </w:tc>
              <w:tc>
                <w:tcPr>
                  <w:tcW w:type="dxa" w:w="851"/>
                </w:tcPr>
                <w:p>
                  <w:pPr>
                    <w:pStyle w:val="null3"/>
                  </w:pPr>
                  <w:r>
                    <w:rPr>
                      <w:rFonts w:ascii="仿宋_GB2312" w:hAnsi="仿宋_GB2312" w:cs="仿宋_GB2312" w:eastAsia="仿宋_GB2312"/>
                    </w:rPr>
                    <w:t>不少于50场</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线下覆盖人群</w:t>
                  </w:r>
                </w:p>
              </w:tc>
              <w:tc>
                <w:tcPr>
                  <w:tcW w:type="dxa" w:w="851"/>
                </w:tcPr>
                <w:p>
                  <w:pPr>
                    <w:pStyle w:val="null3"/>
                  </w:pPr>
                  <w:r>
                    <w:rPr>
                      <w:rFonts w:ascii="仿宋_GB2312" w:hAnsi="仿宋_GB2312" w:cs="仿宋_GB2312" w:eastAsia="仿宋_GB2312"/>
                    </w:rPr>
                    <w:t>每场不少于200人次</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个案帮扶</w:t>
                  </w:r>
                </w:p>
              </w:tc>
              <w:tc>
                <w:tcPr>
                  <w:tcW w:type="dxa" w:w="851"/>
                </w:tcPr>
                <w:p>
                  <w:pPr>
                    <w:pStyle w:val="null3"/>
                  </w:pPr>
                  <w:r>
                    <w:rPr>
                      <w:rFonts w:ascii="仿宋_GB2312" w:hAnsi="仿宋_GB2312" w:cs="仿宋_GB2312" w:eastAsia="仿宋_GB2312"/>
                    </w:rPr>
                    <w:t>不少于2000人</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进乡村场次</w:t>
                  </w:r>
                </w:p>
              </w:tc>
              <w:tc>
                <w:tcPr>
                  <w:tcW w:type="dxa" w:w="851"/>
                </w:tcPr>
                <w:p>
                  <w:pPr>
                    <w:pStyle w:val="null3"/>
                  </w:pPr>
                  <w:r>
                    <w:rPr>
                      <w:rFonts w:ascii="仿宋_GB2312" w:hAnsi="仿宋_GB2312" w:cs="仿宋_GB2312" w:eastAsia="仿宋_GB2312"/>
                    </w:rPr>
                    <w:t>不少于30%</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省级官方媒体报道场次</w:t>
                  </w:r>
                </w:p>
              </w:tc>
              <w:tc>
                <w:tcPr>
                  <w:tcW w:type="dxa" w:w="851"/>
                </w:tcPr>
                <w:p>
                  <w:pPr>
                    <w:pStyle w:val="null3"/>
                  </w:pPr>
                  <w:r>
                    <w:rPr>
                      <w:rFonts w:ascii="仿宋_GB2312" w:hAnsi="仿宋_GB2312" w:cs="仿宋_GB2312" w:eastAsia="仿宋_GB2312"/>
                    </w:rPr>
                    <w:t>不少于20场</w:t>
                  </w:r>
                </w:p>
              </w:tc>
            </w:tr>
          </w:tbl>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（1）项目进展报告：每个月1次。</w:t>
            </w:r>
          </w:p>
          <w:p>
            <w:pPr>
              <w:pStyle w:val="null3"/>
            </w:pPr>
            <w:r>
              <w:rPr>
                <w:rFonts w:ascii="仿宋_GB2312" w:hAnsi="仿宋_GB2312" w:cs="仿宋_GB2312" w:eastAsia="仿宋_GB2312"/>
              </w:rPr>
              <w:t>（2）督导监督机制：引入第三方评估或设置项目督导制度定期抽查，确保活动真实性和质量，提交中期评估报告和结项报告。</w:t>
            </w:r>
          </w:p>
          <w:p>
            <w:pPr>
              <w:pStyle w:val="null3"/>
            </w:pPr>
            <w:r>
              <w:rPr>
                <w:rFonts w:ascii="仿宋_GB2312" w:hAnsi="仿宋_GB2312" w:cs="仿宋_GB2312" w:eastAsia="仿宋_GB2312"/>
              </w:rPr>
              <w:t>（3）资金使用透明性：定期提交财务报告，明确资金流向。</w:t>
            </w:r>
          </w:p>
          <w:p>
            <w:pPr>
              <w:pStyle w:val="null3"/>
            </w:pPr>
            <w:r>
              <w:rPr>
                <w:rFonts w:ascii="仿宋_GB2312" w:hAnsi="仿宋_GB2312" w:cs="仿宋_GB2312" w:eastAsia="仿宋_GB2312"/>
              </w:rPr>
              <w:t>（4）制定风险预案：如老年人安全保障等。</w:t>
            </w:r>
          </w:p>
          <w:p>
            <w:pPr>
              <w:pStyle w:val="null3"/>
            </w:pPr>
            <w:r>
              <w:rPr>
                <w:rFonts w:ascii="仿宋_GB2312" w:hAnsi="仿宋_GB2312" w:cs="仿宋_GB2312" w:eastAsia="仿宋_GB2312"/>
              </w:rPr>
              <w:t>（5）项目评估审计、表彰费用不超过5万元。</w:t>
            </w:r>
          </w:p>
          <w:p>
            <w:pPr>
              <w:pStyle w:val="null3"/>
            </w:pPr>
            <w:r>
              <w:rPr>
                <w:rFonts w:ascii="仿宋_GB2312" w:hAnsi="仿宋_GB2312" w:cs="仿宋_GB2312" w:eastAsia="仿宋_GB2312"/>
              </w:rPr>
              <w:t>（6）为银龄志愿者购买保险。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一年（具体履行期限按合同约定执行）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陕西省民政厅指定地点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（1）质量标准，符合国家行业相关标准。 （2）验收：根据磋商文件、成交供应商响应文件和合同文本执行。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3资格证明文件.docx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满足本磋商文件中3.3商务要求中服务期限、服务地点、支付约定要求的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供应商提供针对本项目的需求分析（包括但不限于项目背景解读、老龄人法律普及社会现状分析及实施重难点分析等方面）。 满足项目实施要求，无瑕疵：6分；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6需求分析.docx</w:t>
            </w:r>
          </w:p>
        </w:tc>
      </w:tr>
      <w:tr>
        <w:tc>
          <w:tcPr>
            <w:tcW w:type="dxa" w:w="831"/>
            <w:vMerge/>
          </w:tcPr>
          <w:p/>
        </w:tc>
        <w:tc>
          <w:tcPr>
            <w:tcW w:type="dxa" w:w="1661"/>
          </w:tcPr>
          <w:p>
            <w:pPr>
              <w:pStyle w:val="null3"/>
            </w:pPr>
            <w:r>
              <w:rPr>
                <w:rFonts w:ascii="仿宋_GB2312" w:hAnsi="仿宋_GB2312" w:cs="仿宋_GB2312" w:eastAsia="仿宋_GB2312"/>
              </w:rPr>
              <w:t>策划及实施方案</w:t>
            </w:r>
          </w:p>
        </w:tc>
        <w:tc>
          <w:tcPr>
            <w:tcW w:type="dxa" w:w="2492"/>
          </w:tcPr>
          <w:p>
            <w:pPr>
              <w:pStyle w:val="null3"/>
            </w:pPr>
            <w:r>
              <w:rPr>
                <w:rFonts w:ascii="仿宋_GB2312" w:hAnsi="仿宋_GB2312" w:cs="仿宋_GB2312" w:eastAsia="仿宋_GB2312"/>
              </w:rPr>
              <w:t>供应商针对本项目提供策划及实施方案，包括针对本项目活动清单内容拟定比例场次的初步安排，及各类型活动内容设计及实施计划。 满足项目实施要求，无瑕疵：12分； 内容存在1处瑕疵：11分； 内容存在2处瑕疵：10分； 内容存在3处瑕疵：9分； 内容存在4处瑕疵：8分； 内容存在5处瑕疵：7分； 内容存在6处瑕疵：6分； 内容存在7处瑕疵：5分； 内容存在8处瑕疵：4分； 内容存在9处瑕疵：3分； 内容存在10处瑕疵：2分； 内容存在11处瑕疵：1分； 未提供或内容存在12处及以上瑕疵：0分。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7策划及实施方案.docx</w:t>
            </w:r>
          </w:p>
        </w:tc>
      </w:tr>
      <w:tr>
        <w:tc>
          <w:tcPr>
            <w:tcW w:type="dxa" w:w="831"/>
            <w:vMerge/>
          </w:tcPr>
          <w:p/>
        </w:tc>
        <w:tc>
          <w:tcPr>
            <w:tcW w:type="dxa" w:w="1661"/>
          </w:tcPr>
          <w:p>
            <w:pPr>
              <w:pStyle w:val="null3"/>
            </w:pPr>
            <w:r>
              <w:rPr>
                <w:rFonts w:ascii="仿宋_GB2312" w:hAnsi="仿宋_GB2312" w:cs="仿宋_GB2312" w:eastAsia="仿宋_GB2312"/>
              </w:rPr>
              <w:t>银龄志愿者组建方案</w:t>
            </w:r>
          </w:p>
        </w:tc>
        <w:tc>
          <w:tcPr>
            <w:tcW w:type="dxa" w:w="2492"/>
          </w:tcPr>
          <w:p>
            <w:pPr>
              <w:pStyle w:val="null3"/>
            </w:pPr>
            <w:r>
              <w:rPr>
                <w:rFonts w:ascii="仿宋_GB2312" w:hAnsi="仿宋_GB2312" w:cs="仿宋_GB2312" w:eastAsia="仿宋_GB2312"/>
              </w:rPr>
              <w:t>供应商提供针对本项目公检法领域退休人员的银龄志愿者组建方案，明确人员选择要求、招募选择方法、志愿者人员组织安排、制定人员培训方案等。 满足项目实施要求，无瑕疵：12分； 内容存在1处瑕疵：11分； 内容存在2处瑕疵：10分； 内容存在3处瑕疵：9分； 内容存在4处瑕疵：8分； 内容存在5处瑕疵：7分； 内容存在6处瑕疵：6分； 内容存在7处瑕疵：5分； 内容存在8处瑕疵：4分； 内容存在9处瑕疵：3分； 内容存在10处瑕疵：2分； 内容存在11处瑕疵：1分； 未提供或内容存在12处及以上瑕疵：0分。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8银龄志愿者组建方案.docx</w:t>
            </w:r>
          </w:p>
        </w:tc>
      </w:tr>
      <w:tr>
        <w:tc>
          <w:tcPr>
            <w:tcW w:type="dxa" w:w="831"/>
            <w:vMerge/>
          </w:tcPr>
          <w:p/>
        </w:tc>
        <w:tc>
          <w:tcPr>
            <w:tcW w:type="dxa" w:w="1661"/>
          </w:tcPr>
          <w:p>
            <w:pPr>
              <w:pStyle w:val="null3"/>
            </w:pPr>
            <w:r>
              <w:rPr>
                <w:rFonts w:ascii="仿宋_GB2312" w:hAnsi="仿宋_GB2312" w:cs="仿宋_GB2312" w:eastAsia="仿宋_GB2312"/>
              </w:rPr>
              <w:t>“银龄学堂”活动计划</w:t>
            </w:r>
          </w:p>
        </w:tc>
        <w:tc>
          <w:tcPr>
            <w:tcW w:type="dxa" w:w="2492"/>
          </w:tcPr>
          <w:p>
            <w:pPr>
              <w:pStyle w:val="null3"/>
            </w:pPr>
            <w:r>
              <w:rPr>
                <w:rFonts w:ascii="仿宋_GB2312" w:hAnsi="仿宋_GB2312" w:cs="仿宋_GB2312" w:eastAsia="仿宋_GB2312"/>
              </w:rPr>
              <w:t>供应商提供“银龄学堂”活动计划，包括但不限于数字助老学堂课程内容安排、表彰激励制度等。 满足项目实施要求，无瑕疵：8分；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9“银龄学堂”活动计划.docx</w:t>
            </w:r>
          </w:p>
          <w:p>
            <w:pPr>
              <w:pStyle w:val="null3"/>
            </w:pPr>
            <w:r>
              <w:rPr>
                <w:rFonts w:ascii="仿宋_GB2312" w:hAnsi="仿宋_GB2312" w:cs="仿宋_GB2312" w:eastAsia="仿宋_GB2312"/>
              </w:rPr>
              <w:t>10媒体报道方案.docx</w:t>
            </w:r>
          </w:p>
        </w:tc>
      </w:tr>
      <w:tr>
        <w:tc>
          <w:tcPr>
            <w:tcW w:type="dxa" w:w="831"/>
            <w:vMerge/>
          </w:tcPr>
          <w:p/>
        </w:tc>
        <w:tc>
          <w:tcPr>
            <w:tcW w:type="dxa" w:w="1661"/>
          </w:tcPr>
          <w:p>
            <w:pPr>
              <w:pStyle w:val="null3"/>
            </w:pPr>
            <w:r>
              <w:rPr>
                <w:rFonts w:ascii="仿宋_GB2312" w:hAnsi="仿宋_GB2312" w:cs="仿宋_GB2312" w:eastAsia="仿宋_GB2312"/>
              </w:rPr>
              <w:t>媒体报道方案</w:t>
            </w:r>
          </w:p>
        </w:tc>
        <w:tc>
          <w:tcPr>
            <w:tcW w:type="dxa" w:w="2492"/>
          </w:tcPr>
          <w:p>
            <w:pPr>
              <w:pStyle w:val="null3"/>
            </w:pPr>
            <w:r>
              <w:rPr>
                <w:rFonts w:ascii="仿宋_GB2312" w:hAnsi="仿宋_GB2312" w:cs="仿宋_GB2312" w:eastAsia="仿宋_GB2312"/>
              </w:rPr>
              <w:t>供应商提供省级官方媒体报道方案，包括拟定媒体选择、各类型活动报道安排计划等。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10媒体报道方案.docx</w:t>
            </w:r>
          </w:p>
        </w:tc>
      </w:tr>
      <w:tr>
        <w:tc>
          <w:tcPr>
            <w:tcW w:type="dxa" w:w="831"/>
            <w:vMerge/>
          </w:tcPr>
          <w:p/>
        </w:tc>
        <w:tc>
          <w:tcPr>
            <w:tcW w:type="dxa" w:w="1661"/>
          </w:tcPr>
          <w:p>
            <w:pPr>
              <w:pStyle w:val="null3"/>
            </w:pPr>
            <w:r>
              <w:rPr>
                <w:rFonts w:ascii="仿宋_GB2312" w:hAnsi="仿宋_GB2312" w:cs="仿宋_GB2312" w:eastAsia="仿宋_GB2312"/>
              </w:rPr>
              <w:t>执行进度计划</w:t>
            </w:r>
          </w:p>
        </w:tc>
        <w:tc>
          <w:tcPr>
            <w:tcW w:type="dxa" w:w="2492"/>
          </w:tcPr>
          <w:p>
            <w:pPr>
              <w:pStyle w:val="null3"/>
            </w:pPr>
            <w:r>
              <w:rPr>
                <w:rFonts w:ascii="仿宋_GB2312" w:hAnsi="仿宋_GB2312" w:cs="仿宋_GB2312" w:eastAsia="仿宋_GB2312"/>
              </w:rPr>
              <w:t>供应商提供针对本项目各活动的执行进度计划安排，并保证每个月1次提交项目进展报告。 满足项目实施要求，无瑕疵：5分；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11执行进度计划.docx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供应商针对本项目制定服务质量保障方案。包括①质量规划、目标②具体可行的质量保障措施。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12质量保障方案.docx</w:t>
            </w:r>
          </w:p>
        </w:tc>
      </w:tr>
      <w:tr>
        <w:tc>
          <w:tcPr>
            <w:tcW w:type="dxa" w:w="831"/>
            <w:vMerge/>
          </w:tcPr>
          <w:p/>
        </w:tc>
        <w:tc>
          <w:tcPr>
            <w:tcW w:type="dxa" w:w="1661"/>
          </w:tcPr>
          <w:p>
            <w:pPr>
              <w:pStyle w:val="null3"/>
            </w:pPr>
            <w:r>
              <w:rPr>
                <w:rFonts w:ascii="仿宋_GB2312" w:hAnsi="仿宋_GB2312" w:cs="仿宋_GB2312" w:eastAsia="仿宋_GB2312"/>
              </w:rPr>
              <w:t>风险预案</w:t>
            </w:r>
          </w:p>
        </w:tc>
        <w:tc>
          <w:tcPr>
            <w:tcW w:type="dxa" w:w="2492"/>
          </w:tcPr>
          <w:p>
            <w:pPr>
              <w:pStyle w:val="null3"/>
            </w:pPr>
            <w:r>
              <w:rPr>
                <w:rFonts w:ascii="仿宋_GB2312" w:hAnsi="仿宋_GB2312" w:cs="仿宋_GB2312" w:eastAsia="仿宋_GB2312"/>
              </w:rPr>
              <w:t>供应商针对本项目制定服务风险预案，如实施活动中的老年人安全保障等，并承诺为银龄志愿者购买保险。 满足项目实施要求，无瑕疵：5分；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13风险预案.docx</w:t>
            </w:r>
          </w:p>
        </w:tc>
      </w:tr>
      <w:tr>
        <w:tc>
          <w:tcPr>
            <w:tcW w:type="dxa" w:w="831"/>
            <w:vMerge/>
          </w:tcPr>
          <w:p/>
        </w:tc>
        <w:tc>
          <w:tcPr>
            <w:tcW w:type="dxa" w:w="1661"/>
          </w:tcPr>
          <w:p>
            <w:pPr>
              <w:pStyle w:val="null3"/>
            </w:pPr>
            <w:r>
              <w:rPr>
                <w:rFonts w:ascii="仿宋_GB2312" w:hAnsi="仿宋_GB2312" w:cs="仿宋_GB2312" w:eastAsia="仿宋_GB2312"/>
              </w:rPr>
              <w:t>督导监督机制</w:t>
            </w:r>
          </w:p>
        </w:tc>
        <w:tc>
          <w:tcPr>
            <w:tcW w:type="dxa" w:w="2492"/>
          </w:tcPr>
          <w:p>
            <w:pPr>
              <w:pStyle w:val="null3"/>
            </w:pPr>
            <w:r>
              <w:rPr>
                <w:rFonts w:ascii="仿宋_GB2312" w:hAnsi="仿宋_GB2312" w:cs="仿宋_GB2312" w:eastAsia="仿宋_GB2312"/>
              </w:rPr>
              <w:t>供应商针对本项目建立督导监督机制，引入第三方评估或设置项目督导制度定期抽查，确保活动真实性和质量，能有效规避项目风险。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14督导监督机制.docx</w:t>
            </w:r>
          </w:p>
        </w:tc>
      </w:tr>
      <w:tr>
        <w:tc>
          <w:tcPr>
            <w:tcW w:type="dxa" w:w="831"/>
            <w:vMerge/>
          </w:tcPr>
          <w:p/>
        </w:tc>
        <w:tc>
          <w:tcPr>
            <w:tcW w:type="dxa" w:w="1661"/>
          </w:tcPr>
          <w:p>
            <w:pPr>
              <w:pStyle w:val="null3"/>
            </w:pPr>
            <w:r>
              <w:rPr>
                <w:rFonts w:ascii="仿宋_GB2312" w:hAnsi="仿宋_GB2312" w:cs="仿宋_GB2312" w:eastAsia="仿宋_GB2312"/>
              </w:rPr>
              <w:t>资金利用计划</w:t>
            </w:r>
          </w:p>
        </w:tc>
        <w:tc>
          <w:tcPr>
            <w:tcW w:type="dxa" w:w="2492"/>
          </w:tcPr>
          <w:p>
            <w:pPr>
              <w:pStyle w:val="null3"/>
            </w:pPr>
            <w:r>
              <w:rPr>
                <w:rFonts w:ascii="仿宋_GB2312" w:hAnsi="仿宋_GB2312" w:cs="仿宋_GB2312" w:eastAsia="仿宋_GB2312"/>
              </w:rPr>
              <w:t>供应商提供针对本项目的拟定资金利用计划，并提供资金跟踪机制（定期提交财务报告，明确资金流向），确保资金使用透明性。根据资金利用计划安排是否得当、资金跟踪机制是否透明进行评审。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15资金利用计划.docx</w:t>
            </w:r>
          </w:p>
        </w:tc>
      </w:tr>
      <w:tr>
        <w:tc>
          <w:tcPr>
            <w:tcW w:type="dxa" w:w="831"/>
            <w:vMerge/>
          </w:tcPr>
          <w:p/>
        </w:tc>
        <w:tc>
          <w:tcPr>
            <w:tcW w:type="dxa" w:w="1661"/>
          </w:tcPr>
          <w:p>
            <w:pPr>
              <w:pStyle w:val="null3"/>
            </w:pPr>
            <w:r>
              <w:rPr>
                <w:rFonts w:ascii="仿宋_GB2312" w:hAnsi="仿宋_GB2312" w:cs="仿宋_GB2312" w:eastAsia="仿宋_GB2312"/>
              </w:rPr>
              <w:t>预期成果分析</w:t>
            </w:r>
          </w:p>
        </w:tc>
        <w:tc>
          <w:tcPr>
            <w:tcW w:type="dxa" w:w="2492"/>
          </w:tcPr>
          <w:p>
            <w:pPr>
              <w:pStyle w:val="null3"/>
            </w:pPr>
            <w:r>
              <w:rPr>
                <w:rFonts w:ascii="仿宋_GB2312" w:hAnsi="仿宋_GB2312" w:cs="仿宋_GB2312" w:eastAsia="仿宋_GB2312"/>
              </w:rPr>
              <w:t>供应商针对本项目进行预期成果分析，并提供若未达到预期效果的补救改进措施。 满足项目实施要求，无瑕疵：5分；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16预期成果分析.docx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供应商针对本项目要求提供详细的人员配置名单，明确项目组织架构、人员职责划分。并提供相关证明材料（包括但不限于人员履历、相关资质、相关经验），项目实施团队应组织管理构架合理，人员安排得当、人员能力经验丰富。 满足项目实施要求，无瑕疵：8分；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17项目实施团队.docx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提供供应商2022年1月1日至今（以合同签订日期为准）同类项目业绩。每提供一份业绩，得1分，最高得5分。 注：供应商需提供相关项目合同复印件并加盖公章，合同复印件能清晰体现合同内容、签署日期、甲乙双方盖章。未提供或内容不明确或不符合要求的合同不得分。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详见附件：6需求分析.docx</w:t>
      </w:r>
    </w:p>
    <w:p>
      <w:pPr>
        <w:pStyle w:val="null3"/>
        <w:ind w:firstLine="960"/>
      </w:pPr>
      <w:r>
        <w:rPr>
          <w:rFonts w:ascii="仿宋_GB2312" w:hAnsi="仿宋_GB2312" w:cs="仿宋_GB2312" w:eastAsia="仿宋_GB2312"/>
        </w:rPr>
        <w:t>详见附件：7策划及实施方案.docx</w:t>
      </w:r>
    </w:p>
    <w:p>
      <w:pPr>
        <w:pStyle w:val="null3"/>
        <w:ind w:firstLine="960"/>
      </w:pPr>
      <w:r>
        <w:rPr>
          <w:rFonts w:ascii="仿宋_GB2312" w:hAnsi="仿宋_GB2312" w:cs="仿宋_GB2312" w:eastAsia="仿宋_GB2312"/>
        </w:rPr>
        <w:t>详见附件：8银龄志愿者组建方案.docx</w:t>
      </w:r>
    </w:p>
    <w:p>
      <w:pPr>
        <w:pStyle w:val="null3"/>
        <w:ind w:firstLine="960"/>
      </w:pPr>
      <w:r>
        <w:rPr>
          <w:rFonts w:ascii="仿宋_GB2312" w:hAnsi="仿宋_GB2312" w:cs="仿宋_GB2312" w:eastAsia="仿宋_GB2312"/>
        </w:rPr>
        <w:t>详见附件：9“银龄学堂”活动计划.docx</w:t>
      </w:r>
    </w:p>
    <w:p>
      <w:pPr>
        <w:pStyle w:val="null3"/>
        <w:ind w:firstLine="960"/>
      </w:pPr>
      <w:r>
        <w:rPr>
          <w:rFonts w:ascii="仿宋_GB2312" w:hAnsi="仿宋_GB2312" w:cs="仿宋_GB2312" w:eastAsia="仿宋_GB2312"/>
        </w:rPr>
        <w:t>详见附件：10媒体报道方案.docx</w:t>
      </w:r>
    </w:p>
    <w:p>
      <w:pPr>
        <w:pStyle w:val="null3"/>
        <w:ind w:firstLine="960"/>
      </w:pPr>
      <w:r>
        <w:rPr>
          <w:rFonts w:ascii="仿宋_GB2312" w:hAnsi="仿宋_GB2312" w:cs="仿宋_GB2312" w:eastAsia="仿宋_GB2312"/>
        </w:rPr>
        <w:t>详见附件：11执行进度计划.docx</w:t>
      </w:r>
    </w:p>
    <w:p>
      <w:pPr>
        <w:pStyle w:val="null3"/>
        <w:ind w:firstLine="960"/>
      </w:pPr>
      <w:r>
        <w:rPr>
          <w:rFonts w:ascii="仿宋_GB2312" w:hAnsi="仿宋_GB2312" w:cs="仿宋_GB2312" w:eastAsia="仿宋_GB2312"/>
        </w:rPr>
        <w:t>详见附件：12质量保障方案.docx</w:t>
      </w:r>
    </w:p>
    <w:p>
      <w:pPr>
        <w:pStyle w:val="null3"/>
        <w:ind w:firstLine="960"/>
      </w:pPr>
      <w:r>
        <w:rPr>
          <w:rFonts w:ascii="仿宋_GB2312" w:hAnsi="仿宋_GB2312" w:cs="仿宋_GB2312" w:eastAsia="仿宋_GB2312"/>
        </w:rPr>
        <w:t>详见附件：13风险预案.docx</w:t>
      </w:r>
    </w:p>
    <w:p>
      <w:pPr>
        <w:pStyle w:val="null3"/>
        <w:ind w:firstLine="960"/>
      </w:pPr>
      <w:r>
        <w:rPr>
          <w:rFonts w:ascii="仿宋_GB2312" w:hAnsi="仿宋_GB2312" w:cs="仿宋_GB2312" w:eastAsia="仿宋_GB2312"/>
        </w:rPr>
        <w:t>详见附件：14督导监督机制.docx</w:t>
      </w:r>
    </w:p>
    <w:p>
      <w:pPr>
        <w:pStyle w:val="null3"/>
        <w:ind w:firstLine="960"/>
      </w:pPr>
      <w:r>
        <w:rPr>
          <w:rFonts w:ascii="仿宋_GB2312" w:hAnsi="仿宋_GB2312" w:cs="仿宋_GB2312" w:eastAsia="仿宋_GB2312"/>
        </w:rPr>
        <w:t>详见附件：15资金利用计划.docx</w:t>
      </w:r>
    </w:p>
    <w:p>
      <w:pPr>
        <w:pStyle w:val="null3"/>
        <w:ind w:firstLine="960"/>
      </w:pPr>
      <w:r>
        <w:rPr>
          <w:rFonts w:ascii="仿宋_GB2312" w:hAnsi="仿宋_GB2312" w:cs="仿宋_GB2312" w:eastAsia="仿宋_GB2312"/>
        </w:rPr>
        <w:t>详见附件：16预期成果分析.docx</w:t>
      </w:r>
    </w:p>
    <w:p>
      <w:pPr>
        <w:pStyle w:val="null3"/>
        <w:ind w:firstLine="960"/>
      </w:pPr>
      <w:r>
        <w:rPr>
          <w:rFonts w:ascii="仿宋_GB2312" w:hAnsi="仿宋_GB2312" w:cs="仿宋_GB2312" w:eastAsia="仿宋_GB2312"/>
        </w:rPr>
        <w:t>详见附件：17项目实施团队.docx</w:t>
      </w:r>
    </w:p>
    <w:p>
      <w:pPr>
        <w:pStyle w:val="null3"/>
        <w:ind w:firstLine="960"/>
      </w:pPr>
      <w:r>
        <w:rPr>
          <w:rFonts w:ascii="仿宋_GB2312" w:hAnsi="仿宋_GB2312" w:cs="仿宋_GB2312" w:eastAsia="仿宋_GB2312"/>
        </w:rPr>
        <w:t>详见附件：18业绩.docx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