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版本号：ZX2025-07-2820250715001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银龄·文化传承项目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ZX2025-07-28</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银龄·文化传承项目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ZX2025-07-28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银龄·文化传承项目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全国敬老爱老助老模范人物、三秦慈善楷模作先进事迹报告，弘扬孝亲敬老文化、慈善文化；组织老地名专家讲述我省地名故事，传承发展地名文化；组织文化艺术专长老年人开展文化展览和文艺演出进社区、进农村活动，丰富老年人精神文化生活；动员基层老年协会开展婚俗和殡葬新风尚活动，深化移风易俗，倡导文明新风，活动现场为老年人免费赠阅老年健康报纸等。该项目为期一年。重点在咸阳、延安、汉中等地市开展。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 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029-63917552、029-63917397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曹婷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采购包1保证金金额：19,072.80元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全国敬老爱老助老模范人物、三秦慈善楷模作先进事迹报告，弘扬孝亲敬老文化、慈善文化；组织老地名专家讲述我省地名故事，传承发展地名文化；组织文化艺术专长老年人开展文化展览和文艺演出进社区、进农村活动，丰富老年人精神文化生活；动员基层老年协会开展婚俗和殡葬新风尚活动，深化移风易俗，倡导文明新风，活动现场为老年人免费赠阅老年健康报纸等。该项目为期一年。重点在咸阳、延安、汉中等地市开展。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银龄·文化传承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标的名称：银龄·文化传承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一、项目背景</w:t>
            </w:r>
          </w:p>
          <w:p>
            <w:pPr>
              <w:pStyle w:val="null3"/>
            </w:pPr>
            <w:r>
              <w:rPr>
                <w:rFonts w:ascii="仿宋_GB2312" w:hAnsi="仿宋_GB2312" w:cs="仿宋_GB2312" w:eastAsia="仿宋_GB2312"/>
              </w:rPr>
              <w:t>为传承民政文化，倡导新风尚，根据《中华人民共和国老年人权益保障法》、全国老龄工作委员会《关于深入开展新时代“银龄行动”的指导意见》（全国老龄委发〔2024〕5号）、陕西省老龄工作委员会《关于印发&lt;陕西省“十四五”老龄事业发展规划和二〇三五年远景目标&gt;的通知》（陕老龄委发〔2021〕2号）文件的要求。</w:t>
            </w:r>
          </w:p>
          <w:p>
            <w:pPr>
              <w:pStyle w:val="null3"/>
            </w:pPr>
            <w:r>
              <w:rPr>
                <w:rFonts w:ascii="仿宋_GB2312" w:hAnsi="仿宋_GB2312" w:cs="仿宋_GB2312" w:eastAsia="仿宋_GB2312"/>
              </w:rPr>
              <w:t>二、项目概述</w:t>
            </w:r>
          </w:p>
          <w:p>
            <w:pPr>
              <w:pStyle w:val="null3"/>
            </w:pPr>
            <w:r>
              <w:rPr>
                <w:rFonts w:ascii="仿宋_GB2312" w:hAnsi="仿宋_GB2312" w:cs="仿宋_GB2312" w:eastAsia="仿宋_GB2312"/>
              </w:rPr>
              <w:t>组织全国敬老爱老助老模范人物、三秦慈善楷模作先进事迹报告，弘扬孝亲敬老文化、慈善文化；组织老地名专家讲述我省地名故事，传承发展地名文化；组织文化艺术专长老年人开展文化展览和文艺演出进社区、进农村活动，丰富老年人精神文化生活；动员基层老年协会开展婚俗和殡葬新风尚活动，深化移风易俗，倡导文明新风，活动现场为老年人免费赠阅老年健康报纸等。该项目为期一年。重点在咸阳、延安、汉中等地市开展。</w:t>
            </w:r>
          </w:p>
          <w:p>
            <w:pPr>
              <w:pStyle w:val="null3"/>
            </w:pPr>
            <w:r>
              <w:rPr>
                <w:rFonts w:ascii="仿宋_GB2312" w:hAnsi="仿宋_GB2312" w:cs="仿宋_GB2312" w:eastAsia="仿宋_GB2312"/>
              </w:rPr>
              <w:t>三、活动清单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标题</w:t>
                  </w:r>
                </w:p>
              </w:tc>
              <w:tc>
                <w:tcPr>
                  <w:tcW w:type="dxa" w:w="851"/>
                </w:tcPr>
                <w:p>
                  <w:pPr>
                    <w:pStyle w:val="null3"/>
                  </w:pPr>
                  <w:r>
                    <w:rPr>
                      <w:rFonts w:ascii="仿宋_GB2312" w:hAnsi="仿宋_GB2312" w:cs="仿宋_GB2312" w:eastAsia="仿宋_GB2312"/>
                    </w:rPr>
                    <w:t>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老年志愿者比例</w:t>
                  </w:r>
                </w:p>
              </w:tc>
              <w:tc>
                <w:tcPr>
                  <w:tcW w:type="dxa" w:w="851"/>
                </w:tcPr>
                <w:p>
                  <w:pPr>
                    <w:pStyle w:val="null3"/>
                  </w:pPr>
                  <w:r>
                    <w:rPr>
                      <w:rFonts w:ascii="仿宋_GB2312" w:hAnsi="仿宋_GB2312" w:cs="仿宋_GB2312" w:eastAsia="仿宋_GB2312"/>
                    </w:rPr>
                    <w:t>不少于90%</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活动开展</w:t>
                  </w:r>
                </w:p>
              </w:tc>
              <w:tc>
                <w:tcPr>
                  <w:tcW w:type="dxa" w:w="851"/>
                </w:tcPr>
                <w:p>
                  <w:pPr>
                    <w:pStyle w:val="null3"/>
                  </w:pPr>
                  <w:r>
                    <w:rPr>
                      <w:rFonts w:ascii="仿宋_GB2312" w:hAnsi="仿宋_GB2312" w:cs="仿宋_GB2312" w:eastAsia="仿宋_GB2312"/>
                    </w:rPr>
                    <w:t>不少于40场</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线下覆盖人群</w:t>
                  </w:r>
                </w:p>
              </w:tc>
              <w:tc>
                <w:tcPr>
                  <w:tcW w:type="dxa" w:w="851"/>
                </w:tcPr>
                <w:p>
                  <w:pPr>
                    <w:pStyle w:val="null3"/>
                  </w:pPr>
                  <w:r>
                    <w:rPr>
                      <w:rFonts w:ascii="仿宋_GB2312" w:hAnsi="仿宋_GB2312" w:cs="仿宋_GB2312" w:eastAsia="仿宋_GB2312"/>
                    </w:rPr>
                    <w:t>每场不少于200人次</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进乡村场次</w:t>
                  </w:r>
                </w:p>
              </w:tc>
              <w:tc>
                <w:tcPr>
                  <w:tcW w:type="dxa" w:w="851"/>
                </w:tcPr>
                <w:p>
                  <w:pPr>
                    <w:pStyle w:val="null3"/>
                  </w:pPr>
                  <w:r>
                    <w:rPr>
                      <w:rFonts w:ascii="仿宋_GB2312" w:hAnsi="仿宋_GB2312" w:cs="仿宋_GB2312" w:eastAsia="仿宋_GB2312"/>
                    </w:rPr>
                    <w:t>不少于30%</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省级官方媒体报道场次</w:t>
                  </w:r>
                </w:p>
              </w:tc>
              <w:tc>
                <w:tcPr>
                  <w:tcW w:type="dxa" w:w="851"/>
                </w:tcPr>
                <w:p>
                  <w:pPr>
                    <w:pStyle w:val="null3"/>
                  </w:pPr>
                  <w:r>
                    <w:rPr>
                      <w:rFonts w:ascii="仿宋_GB2312" w:hAnsi="仿宋_GB2312" w:cs="仿宋_GB2312" w:eastAsia="仿宋_GB2312"/>
                    </w:rPr>
                    <w:t>不少于20场</w:t>
                  </w:r>
                </w:p>
              </w:tc>
            </w:tr>
          </w:tbl>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（1）项目进展报告：每个月1次。</w:t>
            </w:r>
          </w:p>
          <w:p>
            <w:pPr>
              <w:pStyle w:val="null3"/>
            </w:pPr>
            <w:r>
              <w:rPr>
                <w:rFonts w:ascii="仿宋_GB2312" w:hAnsi="仿宋_GB2312" w:cs="仿宋_GB2312" w:eastAsia="仿宋_GB2312"/>
              </w:rPr>
              <w:t>（2）督导监督机制：引入第三方评估或设置项目督导制度定期抽查，确保活动真实性和质量，提交中期评估报告和结项报告。</w:t>
            </w:r>
          </w:p>
          <w:p>
            <w:pPr>
              <w:pStyle w:val="null3"/>
            </w:pPr>
            <w:r>
              <w:rPr>
                <w:rFonts w:ascii="仿宋_GB2312" w:hAnsi="仿宋_GB2312" w:cs="仿宋_GB2312" w:eastAsia="仿宋_GB2312"/>
              </w:rPr>
              <w:t>（3）资金使用透明性：定期提交财务报告，明确资金流向。</w:t>
            </w:r>
          </w:p>
          <w:p>
            <w:pPr>
              <w:pStyle w:val="null3"/>
            </w:pPr>
            <w:r>
              <w:rPr>
                <w:rFonts w:ascii="仿宋_GB2312" w:hAnsi="仿宋_GB2312" w:cs="仿宋_GB2312" w:eastAsia="仿宋_GB2312"/>
              </w:rPr>
              <w:t>（4）制定风险预案：如老年人安全保障等。</w:t>
            </w:r>
          </w:p>
          <w:p>
            <w:pPr>
              <w:pStyle w:val="null3"/>
            </w:pPr>
            <w:r>
              <w:rPr>
                <w:rFonts w:ascii="仿宋_GB2312" w:hAnsi="仿宋_GB2312" w:cs="仿宋_GB2312" w:eastAsia="仿宋_GB2312"/>
              </w:rPr>
              <w:t>（5）项目评估审计、表彰费用不超过5万元。</w:t>
            </w:r>
          </w:p>
          <w:p>
            <w:pPr>
              <w:pStyle w:val="null3"/>
            </w:pPr>
            <w:r>
              <w:rPr>
                <w:rFonts w:ascii="仿宋_GB2312" w:hAnsi="仿宋_GB2312" w:cs="仿宋_GB2312" w:eastAsia="仿宋_GB2312"/>
              </w:rPr>
              <w:t>（6）为银龄志愿者购买保险。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一年（具体履行期限按合同约定执行）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项目服务期结束并经采购人验收合格后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供应商应提供相关文件证明； ③社会保障资金缴纳证明：提供自2024年7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2024年度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 的资信证明或财务报表； 注：此项资格提供“陕西省政府采购供应商信用承诺书”的，可不再提供其他证明文件。供应商需在项目电子化交易系统中按要求上传相应证明文件并进行电子签章。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 1分项价格表.docx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供应商提供针对本项目的需求分析（包括但不限于项目背景解读、老龄文化现状分析等方面）。 满足项目实施要求，无瑕疵：6分； 内容存在1处瑕疵：5分； 内容存在2处瑕疵：4分； 内容存在3处瑕疵：3分； 内容存在4处瑕疵：2分； 内容存在5处瑕疵：1分； 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6需求分析.docx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供应商针对本项目提供项目实施方案，包括①模范人物、先进事迹报告②老地名专家宣传方案③进社区、进农村活动④婚俗和殡葬新风尚活动。详细阐述各类型活动内容设计及实施安排。 满足项目实施要求，无瑕疵：16分； 内容存在1处瑕疵：14分； 内容存在2处瑕疵：12分； 内容存在3处瑕疵：10分； 内容存在4处瑕疵：8分； 内容存在5处瑕疵：6分； 内容存在6处瑕疵：4分； 内容存在7处瑕疵：2分； 未提供或内容存在8处及以上瑕疵：0分。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7项目实施方案.docx</w:t>
            </w:r>
          </w:p>
        </w:tc>
      </w:tr>
      <w:tr>
        <w:tc>
          <w:tcPr>
            <w:tcW w:type="dxa" w:w="831"/>
            <w:vMerge/>
          </w:tcPr>
          <w:p/>
        </w:tc>
        <w:tc>
          <w:tcPr>
            <w:tcW w:type="dxa" w:w="1661"/>
          </w:tcPr>
          <w:p>
            <w:pPr>
              <w:pStyle w:val="null3"/>
            </w:pPr>
            <w:r>
              <w:rPr>
                <w:rFonts w:ascii="仿宋_GB2312" w:hAnsi="仿宋_GB2312" w:cs="仿宋_GB2312" w:eastAsia="仿宋_GB2312"/>
              </w:rPr>
              <w:t>活动场次计划</w:t>
            </w:r>
          </w:p>
        </w:tc>
        <w:tc>
          <w:tcPr>
            <w:tcW w:type="dxa" w:w="2492"/>
          </w:tcPr>
          <w:p>
            <w:pPr>
              <w:pStyle w:val="null3"/>
            </w:pPr>
            <w:r>
              <w:rPr>
                <w:rFonts w:ascii="仿宋_GB2312" w:hAnsi="仿宋_GB2312" w:cs="仿宋_GB2312" w:eastAsia="仿宋_GB2312"/>
              </w:rPr>
              <w:t>供应商针对本项目活动清单内容，详细阐述活动开展拟定安排计划，包括活动场次（咸阳、延安、汉中等地市）、每场计划人数、乡村场次安排，满足采购人要求。 满足项目实施要求，无瑕疵：10分； 内容存在1处瑕疵：9分； 内容存在2处瑕疵：8分； 内容存在3处瑕疵：7分； 内容存在4处瑕疵：6分； 内容存在5处瑕疵：5分； 内容存在6处瑕疵：4分； 内容存在7处瑕疵：3分； 内容存在8处瑕疵：2分； 内容存在9处瑕疵：1分；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8活动场次计划.docx</w:t>
            </w:r>
          </w:p>
        </w:tc>
      </w:tr>
      <w:tr>
        <w:tc>
          <w:tcPr>
            <w:tcW w:type="dxa" w:w="831"/>
            <w:vMerge/>
          </w:tcPr>
          <w:p/>
        </w:tc>
        <w:tc>
          <w:tcPr>
            <w:tcW w:type="dxa" w:w="1661"/>
          </w:tcPr>
          <w:p>
            <w:pPr>
              <w:pStyle w:val="null3"/>
            </w:pPr>
            <w:r>
              <w:rPr>
                <w:rFonts w:ascii="仿宋_GB2312" w:hAnsi="仿宋_GB2312" w:cs="仿宋_GB2312" w:eastAsia="仿宋_GB2312"/>
              </w:rPr>
              <w:t>志愿者组建方案</w:t>
            </w:r>
          </w:p>
        </w:tc>
        <w:tc>
          <w:tcPr>
            <w:tcW w:type="dxa" w:w="2492"/>
          </w:tcPr>
          <w:p>
            <w:pPr>
              <w:pStyle w:val="null3"/>
            </w:pPr>
            <w:r>
              <w:rPr>
                <w:rFonts w:ascii="仿宋_GB2312" w:hAnsi="仿宋_GB2312" w:cs="仿宋_GB2312" w:eastAsia="仿宋_GB2312"/>
              </w:rPr>
              <w:t>供应商提供针对本项目志愿者组建方案（包括老地名专家选择、文化艺术专长老年人等），明确志愿者招募方法、志愿者人员组织安排、制定人员培训方案等，保证老年志愿者比例不少于90%。 满足项目实施要求，无瑕疵：12分； 内容存在1处瑕疵：11分； 内容存在2处瑕疵：10分； 内容存在3处瑕疵：9分； 内容存在4处瑕疵：8分； 内容存在5处瑕疵：7分； 内容存在6处瑕疵：6分； 内容存在7处瑕疵：5分； 内容存在8处瑕疵：4分； 内容存在9处瑕疵：3分； 内容存在10处瑕疵：2分； 内容存在11处瑕疵：1分；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9志愿者组建方案.docx</w:t>
            </w:r>
          </w:p>
        </w:tc>
      </w:tr>
      <w:tr>
        <w:tc>
          <w:tcPr>
            <w:tcW w:type="dxa" w:w="831"/>
            <w:vMerge/>
          </w:tcPr>
          <w:p/>
        </w:tc>
        <w:tc>
          <w:tcPr>
            <w:tcW w:type="dxa" w:w="1661"/>
          </w:tcPr>
          <w:p>
            <w:pPr>
              <w:pStyle w:val="null3"/>
            </w:pPr>
            <w:r>
              <w:rPr>
                <w:rFonts w:ascii="仿宋_GB2312" w:hAnsi="仿宋_GB2312" w:cs="仿宋_GB2312" w:eastAsia="仿宋_GB2312"/>
              </w:rPr>
              <w:t>媒体报道方案</w:t>
            </w:r>
          </w:p>
        </w:tc>
        <w:tc>
          <w:tcPr>
            <w:tcW w:type="dxa" w:w="2492"/>
          </w:tcPr>
          <w:p>
            <w:pPr>
              <w:pStyle w:val="null3"/>
            </w:pPr>
            <w:r>
              <w:rPr>
                <w:rFonts w:ascii="仿宋_GB2312" w:hAnsi="仿宋_GB2312" w:cs="仿宋_GB2312" w:eastAsia="仿宋_GB2312"/>
              </w:rPr>
              <w:t>供应商提供省级官方媒体报道方案，包括拟定媒体选择、各类型活动报道安排计划等。 满足项目实施要求，无瑕疵：6分；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10媒体报道方案.docx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供应商提供针对本项目各活动的实施过程中的重难点分析并提供解决方案。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11重难点分析.docx</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供应商针对本项目制定服务风险预案，如实施活动中的老年人安全保障等，并承诺为老年志愿者购买保险。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12风险预案.docx</w:t>
            </w:r>
          </w:p>
        </w:tc>
      </w:tr>
      <w:tr>
        <w:tc>
          <w:tcPr>
            <w:tcW w:type="dxa" w:w="831"/>
            <w:vMerge/>
          </w:tcPr>
          <w:p/>
        </w:tc>
        <w:tc>
          <w:tcPr>
            <w:tcW w:type="dxa" w:w="1661"/>
          </w:tcPr>
          <w:p>
            <w:pPr>
              <w:pStyle w:val="null3"/>
            </w:pPr>
            <w:r>
              <w:rPr>
                <w:rFonts w:ascii="仿宋_GB2312" w:hAnsi="仿宋_GB2312" w:cs="仿宋_GB2312" w:eastAsia="仿宋_GB2312"/>
              </w:rPr>
              <w:t>督导监督机制</w:t>
            </w:r>
          </w:p>
        </w:tc>
        <w:tc>
          <w:tcPr>
            <w:tcW w:type="dxa" w:w="2492"/>
          </w:tcPr>
          <w:p>
            <w:pPr>
              <w:pStyle w:val="null3"/>
            </w:pPr>
            <w:r>
              <w:rPr>
                <w:rFonts w:ascii="仿宋_GB2312" w:hAnsi="仿宋_GB2312" w:cs="仿宋_GB2312" w:eastAsia="仿宋_GB2312"/>
              </w:rPr>
              <w:t>供应商针对本项目建立督导监督机制，引入第三方评估或设置项目督导制度定期抽查，确保活动真实性和质量，能有效规避项目风险。 满足项目实施要求，无瑕疵：6分；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13督导监督机制.docx</w:t>
            </w:r>
          </w:p>
        </w:tc>
      </w:tr>
      <w:tr>
        <w:tc>
          <w:tcPr>
            <w:tcW w:type="dxa" w:w="831"/>
            <w:vMerge/>
          </w:tcPr>
          <w:p/>
        </w:tc>
        <w:tc>
          <w:tcPr>
            <w:tcW w:type="dxa" w:w="1661"/>
          </w:tcPr>
          <w:p>
            <w:pPr>
              <w:pStyle w:val="null3"/>
            </w:pPr>
            <w:r>
              <w:rPr>
                <w:rFonts w:ascii="仿宋_GB2312" w:hAnsi="仿宋_GB2312" w:cs="仿宋_GB2312" w:eastAsia="仿宋_GB2312"/>
              </w:rPr>
              <w:t>资金利用计划</w:t>
            </w:r>
          </w:p>
        </w:tc>
        <w:tc>
          <w:tcPr>
            <w:tcW w:type="dxa" w:w="2492"/>
          </w:tcPr>
          <w:p>
            <w:pPr>
              <w:pStyle w:val="null3"/>
            </w:pPr>
            <w:r>
              <w:rPr>
                <w:rFonts w:ascii="仿宋_GB2312" w:hAnsi="仿宋_GB2312" w:cs="仿宋_GB2312" w:eastAsia="仿宋_GB2312"/>
              </w:rPr>
              <w:t>供应商提供针对本项目的拟定资金利用计划，并提供资金跟踪机制（定期提交财务报告，明确资金流向），确保资金使用透明性。根据资金利用计划安排是否得当、资金跟踪机制是否透明进行评审。 满足项目实施要求，无瑕疵：6分； 内容存在1处瑕疵：5分； 内容存在2处瑕疵：4分； 内容存在3处瑕疵：3分； 内容存在4处瑕疵：2分； 内容存在5处瑕疵：1分；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14资金利用计划.docx</w:t>
            </w:r>
          </w:p>
        </w:tc>
      </w:tr>
      <w:tr>
        <w:tc>
          <w:tcPr>
            <w:tcW w:type="dxa" w:w="831"/>
            <w:vMerge/>
          </w:tcPr>
          <w:p/>
        </w:tc>
        <w:tc>
          <w:tcPr>
            <w:tcW w:type="dxa" w:w="1661"/>
          </w:tcPr>
          <w:p>
            <w:pPr>
              <w:pStyle w:val="null3"/>
            </w:pPr>
            <w:r>
              <w:rPr>
                <w:rFonts w:ascii="仿宋_GB2312" w:hAnsi="仿宋_GB2312" w:cs="仿宋_GB2312" w:eastAsia="仿宋_GB2312"/>
              </w:rPr>
              <w:t>预期成果分析</w:t>
            </w:r>
          </w:p>
        </w:tc>
        <w:tc>
          <w:tcPr>
            <w:tcW w:type="dxa" w:w="2492"/>
          </w:tcPr>
          <w:p>
            <w:pPr>
              <w:pStyle w:val="null3"/>
            </w:pPr>
            <w:r>
              <w:rPr>
                <w:rFonts w:ascii="仿宋_GB2312" w:hAnsi="仿宋_GB2312" w:cs="仿宋_GB2312" w:eastAsia="仿宋_GB2312"/>
              </w:rPr>
              <w:t>供应商针对本项目进行预期成果分析，并提供若未达到预期效果的补救改进措施。 满足项目实施要求，无瑕疵：5分； 内容存在1处瑕疵：4分； 内容存在2处瑕疵：3分； 内容存在3处瑕疵：2分； 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15预期成果分析.docx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供应商针对本项目要求提供详细的人员配置名单，明确项目组织架构、人员职责划分。并提供相关证明材料（包括但不限于人员履历、相关资质、相关经验），项目实施团队应组织管理构架合理，人员安排得当、人员能力经验丰富。 满足项目实施要求，无瑕疵：8分；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16项目实施团队.docx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提供供应商2022年1月1日至今（以合同签订日期为准）同类项目业绩。每提供一份业绩，得1分，最高得5分。 注：供应商需提供相关项目合同复印件并加盖公章，合同复印件能清晰体现合同内容、签署日期、甲乙双方盖章。未提供或内容不明确或不符合要求的合同不得分。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详见附件：6需求分析.docx</w:t>
      </w:r>
    </w:p>
    <w:p>
      <w:pPr>
        <w:pStyle w:val="null3"/>
        <w:ind w:firstLine="960"/>
      </w:pPr>
      <w:r>
        <w:rPr>
          <w:rFonts w:ascii="仿宋_GB2312" w:hAnsi="仿宋_GB2312" w:cs="仿宋_GB2312" w:eastAsia="仿宋_GB2312"/>
        </w:rPr>
        <w:t>详见附件：7项目实施方案.docx</w:t>
      </w:r>
    </w:p>
    <w:p>
      <w:pPr>
        <w:pStyle w:val="null3"/>
        <w:ind w:firstLine="960"/>
      </w:pPr>
      <w:r>
        <w:rPr>
          <w:rFonts w:ascii="仿宋_GB2312" w:hAnsi="仿宋_GB2312" w:cs="仿宋_GB2312" w:eastAsia="仿宋_GB2312"/>
        </w:rPr>
        <w:t>详见附件：8活动场次计划.docx</w:t>
      </w:r>
    </w:p>
    <w:p>
      <w:pPr>
        <w:pStyle w:val="null3"/>
        <w:ind w:firstLine="960"/>
      </w:pPr>
      <w:r>
        <w:rPr>
          <w:rFonts w:ascii="仿宋_GB2312" w:hAnsi="仿宋_GB2312" w:cs="仿宋_GB2312" w:eastAsia="仿宋_GB2312"/>
        </w:rPr>
        <w:t>详见附件：9志愿者组建方案.docx</w:t>
      </w:r>
    </w:p>
    <w:p>
      <w:pPr>
        <w:pStyle w:val="null3"/>
        <w:ind w:firstLine="960"/>
      </w:pPr>
      <w:r>
        <w:rPr>
          <w:rFonts w:ascii="仿宋_GB2312" w:hAnsi="仿宋_GB2312" w:cs="仿宋_GB2312" w:eastAsia="仿宋_GB2312"/>
        </w:rPr>
        <w:t>详见附件：10媒体报道方案.docx</w:t>
      </w:r>
    </w:p>
    <w:p>
      <w:pPr>
        <w:pStyle w:val="null3"/>
        <w:ind w:firstLine="960"/>
      </w:pPr>
      <w:r>
        <w:rPr>
          <w:rFonts w:ascii="仿宋_GB2312" w:hAnsi="仿宋_GB2312" w:cs="仿宋_GB2312" w:eastAsia="仿宋_GB2312"/>
        </w:rPr>
        <w:t>详见附件：11重难点分析.docx</w:t>
      </w:r>
    </w:p>
    <w:p>
      <w:pPr>
        <w:pStyle w:val="null3"/>
        <w:ind w:firstLine="960"/>
      </w:pPr>
      <w:r>
        <w:rPr>
          <w:rFonts w:ascii="仿宋_GB2312" w:hAnsi="仿宋_GB2312" w:cs="仿宋_GB2312" w:eastAsia="仿宋_GB2312"/>
        </w:rPr>
        <w:t>详见附件：12风险预案.docx</w:t>
      </w:r>
    </w:p>
    <w:p>
      <w:pPr>
        <w:pStyle w:val="null3"/>
        <w:ind w:firstLine="960"/>
      </w:pPr>
      <w:r>
        <w:rPr>
          <w:rFonts w:ascii="仿宋_GB2312" w:hAnsi="仿宋_GB2312" w:cs="仿宋_GB2312" w:eastAsia="仿宋_GB2312"/>
        </w:rPr>
        <w:t>详见附件：13督导监督机制.docx</w:t>
      </w:r>
    </w:p>
    <w:p>
      <w:pPr>
        <w:pStyle w:val="null3"/>
        <w:ind w:firstLine="960"/>
      </w:pPr>
      <w:r>
        <w:rPr>
          <w:rFonts w:ascii="仿宋_GB2312" w:hAnsi="仿宋_GB2312" w:cs="仿宋_GB2312" w:eastAsia="仿宋_GB2312"/>
        </w:rPr>
        <w:t>详见附件：14资金利用计划.docx</w:t>
      </w:r>
    </w:p>
    <w:p>
      <w:pPr>
        <w:pStyle w:val="null3"/>
        <w:ind w:firstLine="960"/>
      </w:pPr>
      <w:r>
        <w:rPr>
          <w:rFonts w:ascii="仿宋_GB2312" w:hAnsi="仿宋_GB2312" w:cs="仿宋_GB2312" w:eastAsia="仿宋_GB2312"/>
        </w:rPr>
        <w:t>详见附件：15预期成果分析.docx</w:t>
      </w:r>
    </w:p>
    <w:p>
      <w:pPr>
        <w:pStyle w:val="null3"/>
        <w:ind w:firstLine="960"/>
      </w:pPr>
      <w:r>
        <w:rPr>
          <w:rFonts w:ascii="仿宋_GB2312" w:hAnsi="仿宋_GB2312" w:cs="仿宋_GB2312" w:eastAsia="仿宋_GB2312"/>
        </w:rPr>
        <w:t>详见附件：16项目实施团队.docx</w:t>
      </w:r>
    </w:p>
    <w:p>
      <w:pPr>
        <w:pStyle w:val="null3"/>
        <w:ind w:firstLine="960"/>
      </w:pPr>
      <w:r>
        <w:rPr>
          <w:rFonts w:ascii="仿宋_GB2312" w:hAnsi="仿宋_GB2312" w:cs="仿宋_GB2312" w:eastAsia="仿宋_GB2312"/>
        </w:rPr>
        <w:t>详见附件：17业绩.docx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