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版本号：SZT2025-SN-SC-ZC-GC-069620250715001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教三楼三层教室改造项目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SZT2025-SN-SC-ZC-GC-0696</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教三楼三层教室改造项目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SZT2025-SN-SC-ZC-GC-0696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教三楼三层教室改造项目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本项目位于西安工业大学未央校区教三楼，本项目装修改造范围3#教学楼三层局部,设计面积约1914平米。主要功能区域包含15间标准教室、3间教室休息室、休息厅、门厅、走道、卫生间等，具体详见工程量清单。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采购包1（教三楼三层教室改造项目）：属于专门面向中小企业采购。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1、供应商资质要求：供应商须具备建设部门颁发的建筑工程施工总承包三级以上（含三级）资质或建筑装修装饰工程专业承包二级以上（含二级）资质；且具有有效的安全生产许可证。</w:t>
      </w:r>
    </w:p>
    <w:p>
      <w:pPr>
        <w:pStyle w:val="null3"/>
      </w:pPr>
      <w:r>
        <w:rPr>
          <w:rFonts w:ascii="仿宋_GB2312" w:hAnsi="仿宋_GB2312" w:cs="仿宋_GB2312" w:eastAsia="仿宋_GB2312"/>
        </w:rPr>
        <w:t>2、拟派项目经理资质和专业要求：项目经理须提供建筑工程专业二级以上（含二级）建造师资格和项目经理安全生产考核合格证，且无在建工程（承诺书）。</w:t>
      </w:r>
    </w:p>
    <w:p>
      <w:pPr>
        <w:pStyle w:val="null3"/>
      </w:pPr>
      <w:r>
        <w:rPr>
          <w:rFonts w:ascii="仿宋_GB2312" w:hAnsi="仿宋_GB2312" w:cs="仿宋_GB2312" w:eastAsia="仿宋_GB2312"/>
        </w:rPr>
        <w:t>3、供应商其他要求：供应商提供“陕西省建筑市场监管与诚信信息一体化平台”备案截图。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西安工业大学经办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2.合同如期履约完成且保修期届满，采购人扣除相关费用后，采购人免息向原缴费账户退还履约保证金余额。 3.若采购人未能按照合同约定履行，则甲方有权全额扣除履约保证金，并保留追究乙方违约相关的法律责任。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收费标准，按照中标金额的0.6%进行收取，在成交发布后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西安工业大学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902,332.36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西安工业大学教三楼三层教室改造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标的名称：西安工业大学教三楼三层教室改造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jc w:val="both"/>
            </w:pPr>
            <w:r>
              <w:rPr>
                <w:rFonts w:ascii="仿宋_GB2312" w:hAnsi="仿宋_GB2312" w:cs="仿宋_GB2312" w:eastAsia="仿宋_GB2312"/>
              </w:rPr>
              <w:t>工程名称：西安工业大学</w:t>
            </w:r>
            <w:r>
              <w:rPr>
                <w:rFonts w:ascii="仿宋_GB2312" w:hAnsi="仿宋_GB2312" w:cs="仿宋_GB2312" w:eastAsia="仿宋_GB2312"/>
              </w:rPr>
              <w:t>教三楼三层教室改造项目</w:t>
            </w:r>
          </w:p>
          <w:p>
            <w:pPr>
              <w:pStyle w:val="null3"/>
              <w:jc w:val="both"/>
            </w:pPr>
            <w:r>
              <w:rPr>
                <w:rFonts w:ascii="仿宋_GB2312" w:hAnsi="仿宋_GB2312" w:cs="仿宋_GB2312" w:eastAsia="仿宋_GB2312"/>
              </w:rPr>
              <w:t>工程地址：西安工业大学</w:t>
            </w:r>
            <w:r>
              <w:rPr>
                <w:rFonts w:ascii="仿宋_GB2312" w:hAnsi="仿宋_GB2312" w:cs="仿宋_GB2312" w:eastAsia="仿宋_GB2312"/>
              </w:rPr>
              <w:t>未央校区</w:t>
            </w:r>
            <w:r>
              <w:rPr>
                <w:rFonts w:ascii="仿宋_GB2312" w:hAnsi="仿宋_GB2312" w:cs="仿宋_GB2312" w:eastAsia="仿宋_GB2312"/>
              </w:rPr>
              <w:t>校内</w:t>
            </w:r>
          </w:p>
          <w:p>
            <w:pPr>
              <w:pStyle w:val="null3"/>
              <w:jc w:val="both"/>
            </w:pPr>
            <w:r>
              <w:rPr>
                <w:rFonts w:ascii="仿宋_GB2312" w:hAnsi="仿宋_GB2312" w:cs="仿宋_GB2312" w:eastAsia="仿宋_GB2312"/>
              </w:rPr>
              <w:t>工程预算：最高限价</w:t>
            </w:r>
            <w:r>
              <w:rPr>
                <w:rFonts w:ascii="仿宋_GB2312" w:hAnsi="仿宋_GB2312" w:cs="仿宋_GB2312" w:eastAsia="仿宋_GB2312"/>
              </w:rPr>
              <w:t>902332.36</w:t>
            </w:r>
            <w:r>
              <w:rPr>
                <w:rFonts w:ascii="仿宋_GB2312" w:hAnsi="仿宋_GB2312" w:cs="仿宋_GB2312" w:eastAsia="仿宋_GB2312"/>
              </w:rPr>
              <w:t>元</w:t>
            </w:r>
          </w:p>
          <w:p>
            <w:pPr>
              <w:pStyle w:val="null3"/>
              <w:jc w:val="both"/>
            </w:pPr>
            <w:r>
              <w:rPr>
                <w:rFonts w:ascii="仿宋_GB2312" w:hAnsi="仿宋_GB2312" w:cs="仿宋_GB2312" w:eastAsia="仿宋_GB2312"/>
              </w:rPr>
              <w:t>工程概况：</w:t>
            </w:r>
            <w:r>
              <w:rPr>
                <w:rFonts w:ascii="仿宋_GB2312" w:hAnsi="仿宋_GB2312" w:cs="仿宋_GB2312" w:eastAsia="仿宋_GB2312"/>
              </w:rPr>
              <w:t>本项目位于西安工业大学未央校区教三楼，本项目装修改造范围</w:t>
            </w:r>
            <w:r>
              <w:rPr>
                <w:rFonts w:ascii="仿宋_GB2312" w:hAnsi="仿宋_GB2312" w:cs="仿宋_GB2312" w:eastAsia="仿宋_GB2312"/>
              </w:rPr>
              <w:t>3#教学楼三层局部,设计面积约1914平米。主要功能区域包含15间标准教室、3间教室休息室、休息厅、门厅、走道、卫生间等，具体详见工程量清单。</w:t>
            </w:r>
          </w:p>
          <w:p>
            <w:pPr>
              <w:pStyle w:val="null3"/>
              <w:jc w:val="both"/>
            </w:pPr>
            <w:r>
              <w:rPr>
                <w:rFonts w:ascii="仿宋_GB2312" w:hAnsi="仿宋_GB2312" w:cs="仿宋_GB2312" w:eastAsia="仿宋_GB2312"/>
              </w:rPr>
              <w:t>二、工程量清单编制依据</w:t>
            </w:r>
          </w:p>
          <w:p>
            <w:pPr>
              <w:pStyle w:val="null3"/>
              <w:jc w:val="both"/>
            </w:pPr>
            <w:r>
              <w:rPr>
                <w:rFonts w:ascii="仿宋_GB2312" w:hAnsi="仿宋_GB2312" w:cs="仿宋_GB2312" w:eastAsia="仿宋_GB2312"/>
              </w:rPr>
              <w:t>（一）国家或省级建设主管部门颁发的计价依据</w:t>
            </w:r>
          </w:p>
          <w:p>
            <w:pPr>
              <w:pStyle w:val="null3"/>
              <w:jc w:val="both"/>
            </w:pPr>
            <w:r>
              <w:rPr>
                <w:rFonts w:ascii="仿宋_GB2312" w:hAnsi="仿宋_GB2312" w:cs="仿宋_GB2312" w:eastAsia="仿宋_GB2312"/>
              </w:rPr>
              <w:t>1、建设单位提供的设计图纸改造内容及答疑编制；</w:t>
            </w:r>
          </w:p>
          <w:p>
            <w:pPr>
              <w:pStyle w:val="null3"/>
              <w:jc w:val="both"/>
            </w:pPr>
            <w:r>
              <w:rPr>
                <w:rFonts w:ascii="仿宋_GB2312" w:hAnsi="仿宋_GB2312" w:cs="仿宋_GB2312" w:eastAsia="仿宋_GB2312"/>
              </w:rPr>
              <w:t>2、陕西省《建设工程工程量清单计价计算标准标准》（2025）、《陕西省房屋建筑与装饰工程消耗量定额》、《陕西省通用安装工程消耗量定额》、《陕西省房屋建筑与装饰工程基价表》（2025）、《陕西省通用安装工程基价表》（2025）、《陕西省建设工程费用规则》（2025）、《陕西省建设工程施工机械台班费用定额》（2025）、《陕西省建设工程施工仪器仪表台班费用定额》（2025）。</w:t>
            </w:r>
          </w:p>
          <w:p>
            <w:pPr>
              <w:pStyle w:val="null3"/>
              <w:jc w:val="both"/>
            </w:pPr>
            <w:r>
              <w:rPr>
                <w:rFonts w:ascii="仿宋_GB2312" w:hAnsi="仿宋_GB2312" w:cs="仿宋_GB2312" w:eastAsia="仿宋_GB2312"/>
              </w:rPr>
              <w:t>3、材料价主要依据陕西省2025年6月份《陕西省工程造价信息》以及专业测定价，并结合现行市场价计入。</w:t>
            </w:r>
          </w:p>
          <w:p>
            <w:pPr>
              <w:pStyle w:val="null3"/>
              <w:jc w:val="both"/>
            </w:pPr>
            <w:r>
              <w:rPr>
                <w:rFonts w:ascii="仿宋_GB2312" w:hAnsi="仿宋_GB2312" w:cs="仿宋_GB2312" w:eastAsia="仿宋_GB2312"/>
              </w:rPr>
              <w:t>4、本工程采用广联达云计价平台GCCP7.0，版本：7.5000.23.1。</w:t>
            </w:r>
          </w:p>
          <w:p>
            <w:pPr>
              <w:pStyle w:val="null3"/>
              <w:jc w:val="both"/>
            </w:pPr>
            <w:r>
              <w:rPr>
                <w:rFonts w:ascii="仿宋_GB2312" w:hAnsi="仿宋_GB2312" w:cs="仿宋_GB2312" w:eastAsia="仿宋_GB2312"/>
              </w:rPr>
              <w:t>5、本工程暂列金 70000 元。</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）其他依据</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正常施工组织设计及施工方法。</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施工图中采用的相关施工规范及验收规范。</w:t>
            </w:r>
          </w:p>
          <w:p>
            <w:pPr>
              <w:pStyle w:val="null3"/>
              <w:jc w:val="both"/>
            </w:pPr>
            <w:r>
              <w:rPr>
                <w:rFonts w:ascii="仿宋_GB2312" w:hAnsi="仿宋_GB2312" w:cs="仿宋_GB2312" w:eastAsia="仿宋_GB2312"/>
              </w:rPr>
              <w:t>三、图纸及工程量清单（详见附件）。</w:t>
            </w:r>
          </w:p>
          <w:p>
            <w:pPr>
              <w:pStyle w:val="null3"/>
              <w:jc w:val="both"/>
            </w:pPr>
            <w:r>
              <w:rPr>
                <w:rFonts w:ascii="仿宋_GB2312" w:hAnsi="仿宋_GB2312" w:cs="仿宋_GB2312" w:eastAsia="仿宋_GB2312"/>
              </w:rPr>
              <w:t>四、商务要求</w:t>
            </w:r>
          </w:p>
          <w:p>
            <w:pPr>
              <w:pStyle w:val="null3"/>
              <w:jc w:val="both"/>
            </w:pPr>
            <w:r>
              <w:rPr>
                <w:rFonts w:ascii="仿宋_GB2312" w:hAnsi="仿宋_GB2312" w:cs="仿宋_GB2312" w:eastAsia="仿宋_GB2312"/>
              </w:rPr>
              <w:t>1、工期： 25日历天。</w:t>
            </w:r>
          </w:p>
          <w:p>
            <w:pPr>
              <w:pStyle w:val="null3"/>
              <w:jc w:val="both"/>
            </w:pPr>
            <w:r>
              <w:rPr>
                <w:rFonts w:ascii="仿宋_GB2312" w:hAnsi="仿宋_GB2312" w:cs="仿宋_GB2312" w:eastAsia="仿宋_GB2312"/>
              </w:rPr>
              <w:t>2、工程质量：工程质量符合国家现行最新颁布的施工验收规范和质量检验“合格”标准。承包人严格按照国家颁发的施工验收规范及工程设计图纸要求进行施工，工程质量应达到国家或专业质量检验评定标准的合格条件。</w:t>
            </w:r>
          </w:p>
          <w:p>
            <w:pPr>
              <w:pStyle w:val="null3"/>
              <w:jc w:val="both"/>
            </w:pPr>
            <w:r>
              <w:rPr>
                <w:rFonts w:ascii="仿宋_GB2312" w:hAnsi="仿宋_GB2312" w:cs="仿宋_GB2312" w:eastAsia="仿宋_GB2312"/>
              </w:rPr>
              <w:t>3、工程质保期：5 年。</w:t>
            </w:r>
          </w:p>
          <w:p>
            <w:pPr>
              <w:pStyle w:val="null3"/>
              <w:jc w:val="both"/>
            </w:pPr>
            <w:r>
              <w:rPr>
                <w:rFonts w:ascii="仿宋_GB2312" w:hAnsi="仿宋_GB2312" w:cs="仿宋_GB2312" w:eastAsia="仿宋_GB2312"/>
              </w:rPr>
              <w:t>4、付款方式：</w:t>
            </w:r>
          </w:p>
          <w:p>
            <w:pPr>
              <w:pStyle w:val="null3"/>
              <w:jc w:val="both"/>
            </w:pPr>
            <w:r>
              <w:rPr>
                <w:rFonts w:ascii="仿宋_GB2312" w:hAnsi="仿宋_GB2312" w:cs="仿宋_GB2312" w:eastAsia="仿宋_GB2312"/>
              </w:rPr>
              <w:t>1.成交供应商在采购合同签订前5个工作日内，向采购人缴纳合同总价5%的履约保证金；</w:t>
            </w:r>
          </w:p>
          <w:p>
            <w:pPr>
              <w:pStyle w:val="null3"/>
              <w:jc w:val="both"/>
            </w:pPr>
            <w:r>
              <w:rPr>
                <w:rFonts w:ascii="仿宋_GB2312" w:hAnsi="仿宋_GB2312" w:cs="仿宋_GB2312" w:eastAsia="仿宋_GB2312"/>
              </w:rPr>
              <w:t>2.合同签订后，采购人向成交供应商支付合同总价的40%预付款，预付款支付前成交供应商须提供项目等额预付款保函；（该阶段支付仅面对中小企业供应商）；</w:t>
            </w:r>
          </w:p>
          <w:p>
            <w:pPr>
              <w:pStyle w:val="null3"/>
              <w:jc w:val="both"/>
            </w:pPr>
            <w:r>
              <w:rPr>
                <w:rFonts w:ascii="仿宋_GB2312" w:hAnsi="仿宋_GB2312" w:cs="仿宋_GB2312" w:eastAsia="仿宋_GB2312"/>
              </w:rPr>
              <w:t>3.工程竣工初验合格后10日，采购人向成交供应商支付至合同总价的70％；</w:t>
            </w:r>
          </w:p>
          <w:p>
            <w:pPr>
              <w:pStyle w:val="null3"/>
              <w:jc w:val="both"/>
            </w:pPr>
            <w:r>
              <w:rPr>
                <w:rFonts w:ascii="仿宋_GB2312" w:hAnsi="仿宋_GB2312" w:cs="仿宋_GB2312" w:eastAsia="仿宋_GB2312"/>
              </w:rPr>
              <w:t>4.工程终验合格后10日，由成交供应商书面递交工程完整资料报采购人开展审计，审计完成后六十日内，采购人支付至审计金额的100%；</w:t>
            </w:r>
          </w:p>
          <w:p>
            <w:pPr>
              <w:pStyle w:val="null3"/>
              <w:jc w:val="both"/>
            </w:pPr>
            <w:r>
              <w:rPr>
                <w:rFonts w:ascii="仿宋_GB2312" w:hAnsi="仿宋_GB2312" w:cs="仿宋_GB2312" w:eastAsia="仿宋_GB2312"/>
              </w:rPr>
              <w:t>5.合同如期履约完成且保修期届满，采购人扣除相关费用后，采购人免息向原缴费账户退还履约保证金余额。</w:t>
            </w:r>
          </w:p>
          <w:p>
            <w:pPr>
              <w:pStyle w:val="null3"/>
              <w:jc w:val="both"/>
            </w:pPr>
            <w:r>
              <w:rPr>
                <w:rFonts w:ascii="仿宋_GB2312" w:hAnsi="仿宋_GB2312" w:cs="仿宋_GB2312" w:eastAsia="仿宋_GB2312"/>
              </w:rPr>
              <w:t>6.采购人应支付的一切款项及应承担的责任均包含在最终审计金额内，之外再无其他款项。</w:t>
            </w:r>
          </w:p>
          <w:p>
            <w:pPr>
              <w:pStyle w:val="null3"/>
              <w:jc w:val="both"/>
            </w:pPr>
            <w:r>
              <w:rPr>
                <w:rFonts w:ascii="仿宋_GB2312" w:hAnsi="仿宋_GB2312" w:cs="仿宋_GB2312" w:eastAsia="仿宋_GB2312"/>
              </w:rPr>
              <w:t>7.成交供应商应当在采购人支付每笔工程款之前向采购人开具等额合法有效且符合甲方要求的增值税发票，否则采购人有权拒绝支付工程款且不承担任何违约责任。</w:t>
            </w:r>
          </w:p>
          <w:p>
            <w:pPr>
              <w:pStyle w:val="null3"/>
              <w:jc w:val="both"/>
            </w:pPr>
            <w:r>
              <w:rPr>
                <w:rFonts w:ascii="仿宋_GB2312" w:hAnsi="仿宋_GB2312" w:cs="仿宋_GB2312" w:eastAsia="仿宋_GB2312"/>
              </w:rPr>
              <w:t>8.合同价款支付最终结算以采购人审定金额为准。审减率超过8%的，由成交供应商承担该工程全部审计费用；审减率低于8%（含）的，由采购人承担该工程全部审计费用。</w:t>
            </w:r>
          </w:p>
          <w:p>
            <w:pPr>
              <w:pStyle w:val="null3"/>
              <w:jc w:val="both"/>
            </w:pPr>
            <w:r>
              <w:rPr>
                <w:rFonts w:ascii="仿宋_GB2312" w:hAnsi="仿宋_GB2312" w:cs="仿宋_GB2312" w:eastAsia="仿宋_GB2312"/>
                <w:sz w:val="21"/>
              </w:rPr>
              <w:t>9.水电费的收取结算按照学校规定执行。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报价方式：最后报价方式。 投标报价： 1.本项目单价包括完成一个规定计量单位项目所需的人工费、材料费、机械费、企业管理费、利润、风险费用、规费、税金、安全文明措施专项费、协调费等所有费用。 2.超出最高限价将导致废标。 3.合同单价以磋商最终报价与一次报价的下浮比例，对可竞争单价进行同比例下浮，以下浮后的价格作为合同执行单价。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供应商须具备建设部门颁发的建筑工程施工总承包三级以上（含三级）资质或建筑装修装饰工程专业承包二级以上（含二级）资质；且具有有效的安全生产许可证。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项目经理须提供建筑工程专业二级以上（含二级）建造师资格和项目经理安全生产考核合格证，且无在建工程（承诺书）。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供应商其他要求</w:t>
            </w:r>
          </w:p>
        </w:tc>
        <w:tc>
          <w:tcPr>
            <w:tcW w:type="dxa" w:w="3322"/>
          </w:tcPr>
          <w:p>
            <w:pPr>
              <w:pStyle w:val="null3"/>
            </w:pPr>
            <w:r>
              <w:rPr>
                <w:rFonts w:ascii="仿宋_GB2312" w:hAnsi="仿宋_GB2312" w:cs="仿宋_GB2312" w:eastAsia="仿宋_GB2312"/>
              </w:rPr>
              <w:t>供应商提供“陕西省建筑市场监管与诚信信息一体化平台”备案截图。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供应商参加政府采购活动承诺书.docx 响应文件封面 已标价工程量清单 拒绝政府采购领域商业贿赂承诺书.docx 报价函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法定代表人授权代表参加投标的，须出具法定代表人授权书及授权代表身份证（法定代表人直接参加投标的，须出具法定代表人身份证）。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非联合体磋商承诺书.docx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w:t>
            </w:r>
          </w:p>
        </w:tc>
        <w:tc>
          <w:tcPr>
            <w:tcW w:type="dxa" w:w="1661"/>
          </w:tcPr>
          <w:p>
            <w:pPr>
              <w:pStyle w:val="null3"/>
            </w:pPr>
            <w:r>
              <w:rPr>
                <w:rFonts w:ascii="仿宋_GB2312" w:hAnsi="仿宋_GB2312" w:cs="仿宋_GB2312" w:eastAsia="仿宋_GB2312"/>
              </w:rPr>
              <w:t>已标价工程量清单 报价函 标的清单 磋商报价表.docx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有现场文明施工计划和环境保护措施，且各项措施周全、具体、有效。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项目组织机构及项目经理部组成人员</w:t>
            </w:r>
          </w:p>
        </w:tc>
        <w:tc>
          <w:tcPr>
            <w:tcW w:type="dxa" w:w="2492"/>
          </w:tcPr>
          <w:p>
            <w:pPr>
              <w:pStyle w:val="null3"/>
            </w:pPr>
            <w:r>
              <w:rPr>
                <w:rFonts w:ascii="仿宋_GB2312" w:hAnsi="仿宋_GB2312" w:cs="仿宋_GB2312" w:eastAsia="仿宋_GB2312"/>
              </w:rPr>
              <w:t>人员齐备、专业配套、相关岗位证书齐全。 1.项目经理及项目部人员配备齐全、专业配套、相关岗位证书齐全，满足项目实际要求得6分； 2.项目经理及项目部人员配备较合理、专业配套、相关岗位证书较齐全，基本满足项目实际要求得4分； 3.项目经理及项目部人员配备不够齐全得2分；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劳动力安排合理妥当，时间安排合理满足施工需求。 1.方案内容完整详尽、科学合理、切实可行、针对性强，完全满足施工要求得6分； 2.方案基本完整、较合理可行、针对性不强、基本满足施工要求得4分； 3.方案简单、不能完全满足施工要求得2分；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安全管理人员配备合理，制度健全，各道工序安全技术措施针对性强，符合实际且满足要求措施是否完备齐全、先进、合理、切实可行。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有保证工期的技术措施、组织措施及施工进度安排。措施是否完备齐全、先进、合理、切实可行。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有完善、针对性强、切实可行的实施方案。 1.方案内容完整详尽、科学合理、切实可行、针对性强，完全满足施工要求得6分； 2.方案基本完整、较合理可行、针对性不强、基本满足施工要求得4分； 3.方案简单、不能完全满足施工要求得2分；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投入的施工机械、设备、机具有详细计划，设备数量、选型配置、进场数量、时间安排合理满足施工需求。 1.投入的施工机械、设备具有详细计划，设备数量、选型配置、进场数量、时间安排合理满足施工需求得6分； 2.投入的施工机械、设备具有较完整的计划，设备数量、选型配置、进场数量、时间安排较满足施工需求得4分； 3.投入的施工机械、设备计划简单，不能完全满足施工需求得4分；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施工进度表或施工网络图，安排科学合理符合本项目施工实际要求。 1.方案内容完整详尽、科学合理、切实可行、针对性强，完全满足施工要求得6分； 2.方案基本完整、较合理可行、针对性不强、基本满足施工要求得4分； 3.方案简单、不能完全满足施工要求得2分；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新技术、新产品、新工艺、新材料应用及施工现场扬尘预防措施</w:t>
            </w:r>
          </w:p>
        </w:tc>
        <w:tc>
          <w:tcPr>
            <w:tcW w:type="dxa" w:w="2492"/>
          </w:tcPr>
          <w:p>
            <w:pPr>
              <w:pStyle w:val="null3"/>
            </w:pPr>
            <w:r>
              <w:rPr>
                <w:rFonts w:ascii="仿宋_GB2312" w:hAnsi="仿宋_GB2312" w:cs="仿宋_GB2312" w:eastAsia="仿宋_GB2312"/>
              </w:rPr>
              <w:t>施工单位应用的技术、产品、工艺、材料等先进科学，并有合理的施工现场扬尘预防措施。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提供2022年6月1日起至今同类工程业绩，每个有效业绩得1分，满分10分。（时间以合同签订日期为准，提供合同复印件加盖公章）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详见附件：非联合体磋商承诺书.docx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